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825" w:rsidRPr="009415A1" w:rsidRDefault="002741A2" w:rsidP="00392825">
      <w:pPr>
        <w:overflowPunct w:val="0"/>
        <w:adjustRightInd w:val="0"/>
        <w:ind w:left="212" w:hanging="210"/>
        <w:textAlignment w:val="baseline"/>
        <w:rPr>
          <w:rFonts w:ascii="ＭＳ 明朝"/>
          <w:color w:val="000000"/>
          <w:spacing w:val="2"/>
          <w:kern w:val="0"/>
          <w:szCs w:val="21"/>
        </w:rPr>
      </w:pPr>
      <w:bookmarkStart w:id="0" w:name="_GoBack"/>
      <w:bookmarkEnd w:id="0"/>
      <w:r>
        <w:rPr>
          <w:rFonts w:ascii="Times New Roman" w:hAnsi="Times New Roman" w:cs="ＭＳ 明朝" w:hint="eastAsia"/>
          <w:b/>
          <w:bCs/>
          <w:color w:val="000000"/>
          <w:kern w:val="0"/>
          <w:szCs w:val="21"/>
        </w:rPr>
        <w:t>別紙様式第４号</w:t>
      </w:r>
      <w:r w:rsidR="00392825" w:rsidRPr="009415A1">
        <w:rPr>
          <w:rFonts w:ascii="Times New Roman" w:hAnsi="Times New Roman" w:cs="ＭＳ 明朝" w:hint="eastAsia"/>
          <w:color w:val="000000"/>
          <w:kern w:val="0"/>
          <w:szCs w:val="21"/>
        </w:rPr>
        <w:t>（</w:t>
      </w:r>
      <w:r w:rsidR="00392825" w:rsidRPr="00EC7E26">
        <w:rPr>
          <w:rFonts w:ascii="ＭＳ 明朝" w:hAnsi="ＭＳ 明朝" w:cs="ＭＳ 明朝" w:hint="eastAsia"/>
          <w:color w:val="000000"/>
          <w:kern w:val="0"/>
          <w:szCs w:val="21"/>
        </w:rPr>
        <w:t>第</w:t>
      </w:r>
      <w:r w:rsidR="00392825" w:rsidRPr="00EC7E26">
        <w:rPr>
          <w:rFonts w:ascii="ＭＳ 明朝" w:hAnsi="ＭＳ 明朝"/>
          <w:color w:val="000000"/>
          <w:kern w:val="0"/>
          <w:szCs w:val="21"/>
        </w:rPr>
        <w:t>56</w:t>
      </w:r>
      <w:r w:rsidR="00243C1C" w:rsidRPr="00EC7E26">
        <w:rPr>
          <w:rFonts w:ascii="ＭＳ 明朝" w:hAnsi="ＭＳ 明朝" w:cs="ＭＳ 明朝" w:hint="eastAsia"/>
          <w:color w:val="000000"/>
          <w:kern w:val="0"/>
          <w:szCs w:val="21"/>
        </w:rPr>
        <w:t>条第１項関係</w:t>
      </w:r>
      <w:r w:rsidR="00243C1C">
        <w:rPr>
          <w:rFonts w:ascii="Times New Roman" w:hAnsi="Times New Roman" w:cs="ＭＳ 明朝" w:hint="eastAsia"/>
          <w:color w:val="000000"/>
          <w:kern w:val="0"/>
          <w:szCs w:val="21"/>
        </w:rPr>
        <w:t>）　　　　　　　　　　　　　　　　　　　　（日本産業</w:t>
      </w:r>
      <w:r w:rsidR="00392825" w:rsidRPr="009415A1">
        <w:rPr>
          <w:rFonts w:ascii="Times New Roman" w:hAnsi="Times New Roman" w:cs="ＭＳ 明朝" w:hint="eastAsia"/>
          <w:color w:val="000000"/>
          <w:kern w:val="0"/>
          <w:szCs w:val="21"/>
        </w:rPr>
        <w:t>規格Ａ４）</w:t>
      </w:r>
    </w:p>
    <w:p w:rsidR="00626CBB" w:rsidRPr="009415A1" w:rsidRDefault="00626CBB" w:rsidP="00626CBB">
      <w:pPr>
        <w:overflowPunct w:val="0"/>
        <w:adjustRightInd w:val="0"/>
        <w:ind w:left="212" w:hanging="210"/>
        <w:textAlignment w:val="baseline"/>
        <w:rPr>
          <w:rFonts w:ascii="ＭＳ 明朝" w:hAnsi="ＭＳ 明朝" w:cs="ＭＳ 明朝" w:hint="eastAsia"/>
          <w:bCs/>
          <w:color w:val="000000"/>
          <w:kern w:val="0"/>
          <w:szCs w:val="21"/>
        </w:rPr>
      </w:pPr>
    </w:p>
    <w:p w:rsidR="00626CBB" w:rsidRPr="009415A1" w:rsidRDefault="00626CBB" w:rsidP="00626CBB">
      <w:pPr>
        <w:overflowPunct w:val="0"/>
        <w:adjustRightInd w:val="0"/>
        <w:jc w:val="center"/>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経　営　計　画</w:t>
      </w:r>
    </w:p>
    <w:p w:rsidR="00626CBB" w:rsidRPr="009415A1" w:rsidRDefault="00626CBB" w:rsidP="00626CBB">
      <w:pPr>
        <w:overflowPunct w:val="0"/>
        <w:adjustRightInd w:val="0"/>
        <w:textAlignment w:val="baseline"/>
        <w:rPr>
          <w:rFonts w:ascii="ＭＳ 明朝" w:hAnsi="ＭＳ 明朝"/>
          <w:color w:val="000000"/>
          <w:spacing w:val="2"/>
          <w:kern w:val="0"/>
          <w:szCs w:val="21"/>
        </w:rPr>
      </w:pPr>
    </w:p>
    <w:p w:rsidR="00626CBB" w:rsidRPr="009415A1" w:rsidRDefault="00626CBB" w:rsidP="00626CBB">
      <w:pPr>
        <w:overflowPunct w:val="0"/>
        <w:adjustRightInd w:val="0"/>
        <w:textAlignment w:val="baseline"/>
        <w:rPr>
          <w:rFonts w:ascii="ＭＳ 明朝" w:hAnsi="ＭＳ 明朝"/>
          <w:color w:val="000000"/>
          <w:spacing w:val="2"/>
          <w:kern w:val="0"/>
          <w:szCs w:val="21"/>
        </w:rPr>
      </w:pPr>
      <w:r w:rsidRPr="009415A1">
        <w:rPr>
          <w:rFonts w:ascii="ＭＳ 明朝" w:hAnsi="ＭＳ 明朝"/>
          <w:color w:val="000000"/>
          <w:kern w:val="0"/>
          <w:szCs w:val="21"/>
        </w:rPr>
        <w:t xml:space="preserve">     </w:t>
      </w:r>
      <w:r w:rsidRPr="009415A1">
        <w:rPr>
          <w:rFonts w:ascii="ＭＳ 明朝" w:hAnsi="ＭＳ 明朝" w:cs="ＭＳ 明朝" w:hint="eastAsia"/>
          <w:color w:val="000000"/>
          <w:kern w:val="0"/>
          <w:szCs w:val="21"/>
        </w:rPr>
        <w:t xml:space="preserve">　　　　　　　　　　　　　　　　　　　　　　　　　　　　　</w:t>
      </w:r>
      <w:r w:rsidRPr="009415A1">
        <w:rPr>
          <w:rFonts w:ascii="ＭＳ 明朝" w:hAnsi="ＭＳ 明朝"/>
          <w:color w:val="000000"/>
          <w:kern w:val="0"/>
          <w:szCs w:val="21"/>
        </w:rPr>
        <w:t xml:space="preserve"> </w:t>
      </w:r>
      <w:r w:rsidRPr="009415A1">
        <w:rPr>
          <w:rFonts w:ascii="ＭＳ 明朝" w:hAnsi="ＭＳ 明朝" w:cs="ＭＳ 明朝" w:hint="eastAsia"/>
          <w:color w:val="000000"/>
          <w:kern w:val="0"/>
          <w:szCs w:val="21"/>
        </w:rPr>
        <w:t>年　　月　　日提出</w:t>
      </w:r>
    </w:p>
    <w:p w:rsidR="00626CBB" w:rsidRPr="009415A1" w:rsidRDefault="00626CBB" w:rsidP="00626CBB">
      <w:pPr>
        <w:overflowPunct w:val="0"/>
        <w:adjustRightInd w:val="0"/>
        <w:textAlignment w:val="baseline"/>
        <w:rPr>
          <w:rFonts w:ascii="ＭＳ 明朝" w:hAnsi="ＭＳ 明朝"/>
          <w:color w:val="000000"/>
          <w:spacing w:val="2"/>
          <w:kern w:val="0"/>
          <w:szCs w:val="21"/>
        </w:rPr>
      </w:pPr>
    </w:p>
    <w:p w:rsidR="00626CBB" w:rsidRPr="009415A1" w:rsidRDefault="00626CBB" w:rsidP="00626CBB">
      <w:pPr>
        <w:overflowPunct w:val="0"/>
        <w:adjustRightInd w:val="0"/>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 xml:space="preserve">　　　　　　　　　　　　　　　　　　（提出者）本店又は主たる</w:t>
      </w:r>
    </w:p>
    <w:p w:rsidR="00626CBB" w:rsidRPr="009415A1" w:rsidRDefault="00626CBB" w:rsidP="00626CBB">
      <w:pPr>
        <w:overflowPunct w:val="0"/>
        <w:adjustRightInd w:val="0"/>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 xml:space="preserve">　　　　　　　　　　　　　　　　　　　　　　　事務所の所在地</w:t>
      </w:r>
    </w:p>
    <w:p w:rsidR="00626CBB" w:rsidRPr="009415A1" w:rsidRDefault="00626CBB" w:rsidP="00626CBB">
      <w:pPr>
        <w:overflowPunct w:val="0"/>
        <w:adjustRightInd w:val="0"/>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 xml:space="preserve">　　　　　　　　　　　　　　　　　　　　　　　</w:t>
      </w:r>
      <w:r w:rsidRPr="00527F4C">
        <w:rPr>
          <w:rFonts w:ascii="ＭＳ 明朝" w:hAnsi="ＭＳ 明朝" w:cs="ＭＳ 明朝" w:hint="eastAsia"/>
          <w:color w:val="000000"/>
          <w:spacing w:val="18"/>
          <w:kern w:val="0"/>
          <w:szCs w:val="21"/>
          <w:fitText w:val="1484" w:id="1405424640"/>
        </w:rPr>
        <w:t>商号又は名称</w:t>
      </w:r>
    </w:p>
    <w:p w:rsidR="00626CBB" w:rsidRPr="009415A1" w:rsidRDefault="00626CBB" w:rsidP="00626CBB">
      <w:pPr>
        <w:overflowPunct w:val="0"/>
        <w:adjustRightInd w:val="0"/>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 xml:space="preserve">　　　　　　　　　　　　　　　　　　　　　　　</w:t>
      </w:r>
      <w:r w:rsidRPr="00885FAD">
        <w:rPr>
          <w:rFonts w:ascii="ＭＳ 明朝" w:hAnsi="ＭＳ 明朝" w:cs="ＭＳ 明朝" w:hint="eastAsia"/>
          <w:color w:val="000000"/>
          <w:spacing w:val="214"/>
          <w:kern w:val="0"/>
          <w:szCs w:val="21"/>
          <w:fitText w:val="1484" w:id="1405424641"/>
        </w:rPr>
        <w:t>代表</w:t>
      </w:r>
      <w:r w:rsidRPr="00885FAD">
        <w:rPr>
          <w:rFonts w:ascii="ＭＳ 明朝" w:hAnsi="ＭＳ 明朝" w:cs="ＭＳ 明朝" w:hint="eastAsia"/>
          <w:color w:val="000000"/>
          <w:kern w:val="0"/>
          <w:szCs w:val="21"/>
          <w:fitText w:val="1484" w:id="1405424641"/>
        </w:rPr>
        <w:t>者</w:t>
      </w:r>
      <w:r w:rsidRPr="009415A1">
        <w:rPr>
          <w:rFonts w:ascii="ＭＳ 明朝" w:hAnsi="ＭＳ 明朝"/>
          <w:color w:val="000000"/>
          <w:kern w:val="0"/>
          <w:szCs w:val="21"/>
        </w:rPr>
        <w:t xml:space="preserve"> </w:t>
      </w:r>
      <w:r w:rsidRPr="009415A1">
        <w:rPr>
          <w:rFonts w:ascii="ＭＳ 明朝" w:hAnsi="ＭＳ 明朝" w:cs="ＭＳ 明朝" w:hint="eastAsia"/>
          <w:color w:val="000000"/>
          <w:kern w:val="0"/>
          <w:szCs w:val="21"/>
        </w:rPr>
        <w:t xml:space="preserve">　　</w:t>
      </w:r>
      <w:r w:rsidRPr="009415A1">
        <w:rPr>
          <w:rFonts w:ascii="ＭＳ 明朝" w:hAnsi="ＭＳ 明朝"/>
          <w:color w:val="000000"/>
          <w:kern w:val="0"/>
          <w:szCs w:val="21"/>
        </w:rPr>
        <w:t xml:space="preserve"> </w:t>
      </w:r>
      <w:r w:rsidRPr="009415A1">
        <w:rPr>
          <w:rFonts w:ascii="ＭＳ 明朝" w:hAnsi="ＭＳ 明朝" w:cs="ＭＳ 明朝" w:hint="eastAsia"/>
          <w:color w:val="000000"/>
          <w:kern w:val="0"/>
          <w:szCs w:val="21"/>
        </w:rPr>
        <w:t xml:space="preserve">　役</w:t>
      </w:r>
      <w:r w:rsidRPr="009415A1">
        <w:rPr>
          <w:rFonts w:ascii="ＭＳ 明朝" w:hAnsi="ＭＳ 明朝"/>
          <w:color w:val="000000"/>
          <w:kern w:val="0"/>
          <w:szCs w:val="21"/>
        </w:rPr>
        <w:t xml:space="preserve"> </w:t>
      </w:r>
      <w:r w:rsidRPr="009415A1">
        <w:rPr>
          <w:rFonts w:ascii="ＭＳ 明朝" w:hAnsi="ＭＳ 明朝" w:cs="ＭＳ 明朝" w:hint="eastAsia"/>
          <w:color w:val="000000"/>
          <w:kern w:val="0"/>
          <w:szCs w:val="21"/>
        </w:rPr>
        <w:t>職</w:t>
      </w:r>
      <w:r w:rsidRPr="009415A1">
        <w:rPr>
          <w:rFonts w:ascii="ＭＳ 明朝" w:hAnsi="ＭＳ 明朝"/>
          <w:color w:val="000000"/>
          <w:kern w:val="0"/>
          <w:szCs w:val="21"/>
        </w:rPr>
        <w:t xml:space="preserve"> </w:t>
      </w:r>
      <w:r w:rsidRPr="009415A1">
        <w:rPr>
          <w:rFonts w:ascii="ＭＳ 明朝" w:hAnsi="ＭＳ 明朝" w:cs="ＭＳ 明朝" w:hint="eastAsia"/>
          <w:color w:val="000000"/>
          <w:kern w:val="0"/>
          <w:szCs w:val="21"/>
        </w:rPr>
        <w:t>・</w:t>
      </w:r>
      <w:r w:rsidRPr="009415A1">
        <w:rPr>
          <w:rFonts w:ascii="ＭＳ 明朝" w:hAnsi="ＭＳ 明朝"/>
          <w:color w:val="000000"/>
          <w:kern w:val="0"/>
          <w:szCs w:val="21"/>
        </w:rPr>
        <w:t xml:space="preserve"> </w:t>
      </w:r>
      <w:r w:rsidRPr="009415A1">
        <w:rPr>
          <w:rFonts w:ascii="ＭＳ 明朝" w:hAnsi="ＭＳ 明朝" w:cs="ＭＳ 明朝" w:hint="eastAsia"/>
          <w:color w:val="000000"/>
          <w:kern w:val="0"/>
          <w:szCs w:val="21"/>
        </w:rPr>
        <w:t>氏</w:t>
      </w:r>
      <w:r w:rsidRPr="009415A1">
        <w:rPr>
          <w:rFonts w:ascii="ＭＳ 明朝" w:hAnsi="ＭＳ 明朝"/>
          <w:color w:val="000000"/>
          <w:kern w:val="0"/>
          <w:szCs w:val="21"/>
        </w:rPr>
        <w:t xml:space="preserve"> </w:t>
      </w:r>
      <w:r w:rsidRPr="009415A1">
        <w:rPr>
          <w:rFonts w:ascii="ＭＳ 明朝" w:hAnsi="ＭＳ 明朝" w:cs="ＭＳ 明朝" w:hint="eastAsia"/>
          <w:color w:val="000000"/>
          <w:kern w:val="0"/>
          <w:szCs w:val="21"/>
        </w:rPr>
        <w:t xml:space="preserve">名　</w:t>
      </w:r>
      <w:r w:rsidRPr="009415A1">
        <w:rPr>
          <w:rFonts w:ascii="ＭＳ 明朝" w:hAnsi="ＭＳ 明朝"/>
          <w:color w:val="000000"/>
          <w:kern w:val="0"/>
          <w:szCs w:val="21"/>
        </w:rPr>
        <w:t xml:space="preserve">  </w:t>
      </w:r>
    </w:p>
    <w:p w:rsidR="00626CBB" w:rsidRPr="009415A1" w:rsidRDefault="00626CBB" w:rsidP="00626CBB">
      <w:pPr>
        <w:overflowPunct w:val="0"/>
        <w:adjustRightInd w:val="0"/>
        <w:textAlignment w:val="baseline"/>
        <w:rPr>
          <w:rFonts w:ascii="ＭＳ 明朝" w:hAnsi="ＭＳ 明朝"/>
          <w:color w:val="000000"/>
          <w:spacing w:val="2"/>
          <w:kern w:val="0"/>
          <w:szCs w:val="21"/>
        </w:rPr>
      </w:pPr>
    </w:p>
    <w:p w:rsidR="00626CBB" w:rsidRPr="009415A1" w:rsidRDefault="00626CBB" w:rsidP="00626CBB">
      <w:pPr>
        <w:overflowPunct w:val="0"/>
        <w:adjustRightInd w:val="0"/>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 xml:space="preserve">　金融機能の強化のための特別措置に関する法律第</w:t>
      </w:r>
      <w:r w:rsidRPr="009415A1">
        <w:rPr>
          <w:rFonts w:ascii="ＭＳ 明朝" w:hAnsi="ＭＳ 明朝"/>
          <w:color w:val="000000"/>
          <w:kern w:val="0"/>
          <w:szCs w:val="21"/>
        </w:rPr>
        <w:t>22</w:t>
      </w:r>
      <w:r w:rsidRPr="009415A1">
        <w:rPr>
          <w:rFonts w:ascii="ＭＳ 明朝" w:hAnsi="ＭＳ 明朝" w:cs="ＭＳ 明朝" w:hint="eastAsia"/>
          <w:color w:val="000000"/>
          <w:kern w:val="0"/>
          <w:szCs w:val="21"/>
        </w:rPr>
        <w:t>条第３項の規定に基づき、経営計画を次のとおり提出します。</w:t>
      </w:r>
    </w:p>
    <w:p w:rsidR="00626CBB" w:rsidRPr="009415A1" w:rsidRDefault="00626CBB" w:rsidP="00626CBB">
      <w:pPr>
        <w:overflowPunct w:val="0"/>
        <w:adjustRightInd w:val="0"/>
        <w:textAlignment w:val="baseline"/>
        <w:rPr>
          <w:rFonts w:ascii="ＭＳ 明朝" w:hAnsi="ＭＳ 明朝" w:hint="eastAsia"/>
          <w:color w:val="000000"/>
          <w:spacing w:val="2"/>
          <w:kern w:val="0"/>
          <w:szCs w:val="21"/>
        </w:rPr>
      </w:pPr>
    </w:p>
    <w:p w:rsidR="00626CBB" w:rsidRPr="009415A1" w:rsidRDefault="00626CBB" w:rsidP="00626CBB">
      <w:pPr>
        <w:overflowPunct w:val="0"/>
        <w:adjustRightInd w:val="0"/>
        <w:textAlignment w:val="baseline"/>
        <w:rPr>
          <w:rFonts w:ascii="ＭＳ 明朝" w:hAnsi="ＭＳ 明朝" w:hint="eastAsia"/>
          <w:color w:val="000000"/>
          <w:spacing w:val="2"/>
          <w:kern w:val="0"/>
          <w:szCs w:val="21"/>
        </w:rPr>
      </w:pPr>
    </w:p>
    <w:p w:rsidR="00626CBB" w:rsidRPr="009415A1" w:rsidRDefault="00626CBB" w:rsidP="00626CBB">
      <w:pPr>
        <w:overflowPunct w:val="0"/>
        <w:adjustRightInd w:val="0"/>
        <w:textAlignment w:val="baseline"/>
        <w:rPr>
          <w:rFonts w:ascii="ＭＳ 明朝" w:hAnsi="ＭＳ 明朝" w:hint="eastAsia"/>
          <w:color w:val="000000"/>
          <w:spacing w:val="2"/>
          <w:kern w:val="0"/>
          <w:szCs w:val="21"/>
        </w:rPr>
      </w:pPr>
    </w:p>
    <w:p w:rsidR="00626CBB" w:rsidRPr="009415A1" w:rsidRDefault="00626CBB" w:rsidP="00626CBB">
      <w:pPr>
        <w:overflowPunct w:val="0"/>
        <w:adjustRightInd w:val="0"/>
        <w:textAlignment w:val="baseline"/>
        <w:rPr>
          <w:rFonts w:ascii="ＭＳ 明朝" w:hAnsi="ＭＳ 明朝" w:hint="eastAsia"/>
          <w:color w:val="000000"/>
          <w:spacing w:val="2"/>
          <w:kern w:val="0"/>
          <w:szCs w:val="21"/>
        </w:rPr>
      </w:pPr>
    </w:p>
    <w:p w:rsidR="00626CBB" w:rsidRPr="009415A1" w:rsidRDefault="00626CBB" w:rsidP="00626CBB">
      <w:pPr>
        <w:overflowPunct w:val="0"/>
        <w:adjustRightInd w:val="0"/>
        <w:jc w:val="center"/>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記</w:t>
      </w:r>
    </w:p>
    <w:p w:rsidR="00626CBB" w:rsidRPr="009415A1" w:rsidRDefault="00626CBB" w:rsidP="00626CBB">
      <w:pPr>
        <w:overflowPunct w:val="0"/>
        <w:adjustRightInd w:val="0"/>
        <w:textAlignment w:val="baseline"/>
        <w:rPr>
          <w:rFonts w:ascii="ＭＳ 明朝" w:hAnsi="ＭＳ 明朝"/>
          <w:color w:val="000000"/>
          <w:spacing w:val="2"/>
          <w:kern w:val="0"/>
          <w:szCs w:val="21"/>
        </w:rPr>
      </w:pPr>
    </w:p>
    <w:p w:rsidR="00626CBB" w:rsidRPr="009415A1" w:rsidRDefault="00626CBB" w:rsidP="00626CBB">
      <w:pPr>
        <w:overflowPunct w:val="0"/>
        <w:adjustRightInd w:val="0"/>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第１　経営計画の期間</w:t>
      </w:r>
    </w:p>
    <w:p w:rsidR="00626CBB" w:rsidRPr="009415A1" w:rsidRDefault="00626CBB" w:rsidP="00626CBB">
      <w:pPr>
        <w:overflowPunct w:val="0"/>
        <w:adjustRightInd w:val="0"/>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第２　経営計画の期間中の収益見通し</w:t>
      </w:r>
    </w:p>
    <w:p w:rsidR="00626CBB" w:rsidRPr="009415A1" w:rsidRDefault="00626CBB" w:rsidP="00626CBB">
      <w:pPr>
        <w:overflowPunct w:val="0"/>
        <w:adjustRightInd w:val="0"/>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第３　収益見通しを達成するための方策</w:t>
      </w:r>
    </w:p>
    <w:p w:rsidR="00626CBB" w:rsidRPr="009415A1" w:rsidRDefault="00626CBB" w:rsidP="00626CBB">
      <w:pPr>
        <w:overflowPunct w:val="0"/>
        <w:adjustRightInd w:val="0"/>
        <w:ind w:left="424" w:hanging="422"/>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第４　責任ある経営体制の確立に関する事項</w:t>
      </w:r>
    </w:p>
    <w:p w:rsidR="00626CBB" w:rsidRPr="009415A1" w:rsidRDefault="00626CBB" w:rsidP="00626CBB">
      <w:pPr>
        <w:overflowPunct w:val="0"/>
        <w:adjustRightInd w:val="0"/>
        <w:ind w:left="424" w:hanging="422"/>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第５　剰余金の処分の方針</w:t>
      </w:r>
    </w:p>
    <w:p w:rsidR="00626CBB" w:rsidRPr="009415A1" w:rsidRDefault="00626CBB" w:rsidP="00626CBB">
      <w:pPr>
        <w:overflowPunct w:val="0"/>
        <w:adjustRightInd w:val="0"/>
        <w:ind w:left="424" w:hanging="422"/>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第６　財務内容の健全性及び業務の健全かつ適切な運営の確保のための方策</w:t>
      </w:r>
    </w:p>
    <w:p w:rsidR="00626CBB" w:rsidRPr="009415A1" w:rsidRDefault="00626CBB" w:rsidP="00626CBB">
      <w:pPr>
        <w:overflowPunct w:val="0"/>
        <w:adjustRightInd w:val="0"/>
        <w:ind w:left="424" w:hanging="422"/>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第７　協定銀行が現に保有する取得株式等又は取得貸付債権のうち経営計画を提出する金融機関等（第</w:t>
      </w:r>
      <w:r w:rsidRPr="009415A1">
        <w:rPr>
          <w:rFonts w:ascii="ＭＳ 明朝" w:hAnsi="ＭＳ 明朝"/>
          <w:color w:val="000000"/>
          <w:kern w:val="0"/>
          <w:szCs w:val="21"/>
        </w:rPr>
        <w:t>32</w:t>
      </w:r>
      <w:r w:rsidRPr="009415A1">
        <w:rPr>
          <w:rFonts w:ascii="ＭＳ 明朝" w:hAnsi="ＭＳ 明朝" w:cs="ＭＳ 明朝" w:hint="eastAsia"/>
          <w:color w:val="000000"/>
          <w:kern w:val="0"/>
          <w:szCs w:val="21"/>
        </w:rPr>
        <w:t>条に規定する金融機関等をいい、経営計画を連名で提出する銀行持株会社等を含む。以下同じ。）を発行者又は債務者とするものの額及びその内容</w:t>
      </w:r>
    </w:p>
    <w:p w:rsidR="00626CBB" w:rsidRPr="009415A1" w:rsidRDefault="00626CBB" w:rsidP="00626CBB">
      <w:pPr>
        <w:overflowPunct w:val="0"/>
        <w:adjustRightInd w:val="0"/>
        <w:textAlignment w:val="baseline"/>
        <w:rPr>
          <w:rFonts w:ascii="ＭＳ 明朝" w:hAnsi="ＭＳ 明朝"/>
          <w:color w:val="000000"/>
          <w:spacing w:val="2"/>
          <w:kern w:val="0"/>
          <w:szCs w:val="21"/>
        </w:rPr>
      </w:pPr>
    </w:p>
    <w:p w:rsidR="00626CBB" w:rsidRPr="009415A1" w:rsidRDefault="00626CBB" w:rsidP="00626CBB">
      <w:pPr>
        <w:overflowPunct w:val="0"/>
        <w:adjustRightInd w:val="0"/>
        <w:ind w:firstLineChars="100" w:firstLine="212"/>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（記載上の注意）</w:t>
      </w:r>
    </w:p>
    <w:p w:rsidR="00626CBB" w:rsidRPr="009415A1" w:rsidRDefault="00626CBB" w:rsidP="00626CBB">
      <w:pPr>
        <w:overflowPunct w:val="0"/>
        <w:adjustRightInd w:val="0"/>
        <w:ind w:firstLineChars="200" w:firstLine="424"/>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１．一般的事項</w:t>
      </w:r>
    </w:p>
    <w:p w:rsidR="00626CBB" w:rsidRPr="009415A1" w:rsidRDefault="00626CBB" w:rsidP="00626CBB">
      <w:pPr>
        <w:overflowPunct w:val="0"/>
        <w:adjustRightInd w:val="0"/>
        <w:ind w:leftChars="301" w:left="850"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⑴　以下の規定により記載が必要とされる事項に加えて、関連する事項を記載することができる。</w:t>
      </w:r>
    </w:p>
    <w:p w:rsidR="00626CBB" w:rsidRPr="009415A1" w:rsidRDefault="00626CBB" w:rsidP="00626CBB">
      <w:pPr>
        <w:overflowPunct w:val="0"/>
        <w:adjustRightInd w:val="0"/>
        <w:ind w:leftChars="301" w:left="850" w:hangingChars="100" w:hanging="212"/>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⑵　経営計画が公表されることを踏まえ、以下の規定により記載が必要とされる事項のほか、経営計画に添付する書類に記載する内容について積極的に記載するなど記載事項の充実に努めること。</w:t>
      </w:r>
    </w:p>
    <w:p w:rsidR="00626CBB" w:rsidRPr="009415A1" w:rsidRDefault="00626CBB" w:rsidP="00626CBB">
      <w:pPr>
        <w:overflowPunct w:val="0"/>
        <w:adjustRightInd w:val="0"/>
        <w:ind w:firstLineChars="200" w:firstLine="424"/>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２．提出者</w:t>
      </w:r>
    </w:p>
    <w:p w:rsidR="00626CBB" w:rsidRPr="009415A1" w:rsidRDefault="00626CBB" w:rsidP="00626CBB">
      <w:pPr>
        <w:overflowPunct w:val="0"/>
        <w:adjustRightInd w:val="0"/>
        <w:ind w:leftChars="300" w:left="84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⑴　提出者の欄においては、経営計画を提出する金融機関等の代表者</w:t>
      </w:r>
      <w:r w:rsidR="006C3EE0" w:rsidRPr="006C3EE0">
        <w:rPr>
          <w:rFonts w:ascii="ＭＳ 明朝" w:hAnsi="ＭＳ 明朝" w:cs="ＭＳ 明朝" w:hint="eastAsia"/>
          <w:color w:val="000000"/>
          <w:kern w:val="0"/>
          <w:szCs w:val="21"/>
        </w:rPr>
        <w:t>の役職及び氏名を記載</w:t>
      </w:r>
      <w:r w:rsidRPr="009415A1">
        <w:rPr>
          <w:rFonts w:ascii="ＭＳ 明朝" w:hAnsi="ＭＳ 明朝" w:cs="ＭＳ 明朝" w:hint="eastAsia"/>
          <w:color w:val="000000"/>
          <w:kern w:val="0"/>
          <w:szCs w:val="21"/>
        </w:rPr>
        <w:t>すること。</w:t>
      </w:r>
    </w:p>
    <w:p w:rsidR="00626CBB" w:rsidRDefault="00626CBB" w:rsidP="00626CBB">
      <w:pPr>
        <w:overflowPunct w:val="0"/>
        <w:adjustRightInd w:val="0"/>
        <w:ind w:leftChars="300" w:left="848" w:hangingChars="100" w:hanging="212"/>
        <w:textAlignment w:val="baseline"/>
        <w:rPr>
          <w:rFonts w:ascii="ＭＳ 明朝" w:hAnsi="ＭＳ 明朝" w:cs="ＭＳ 明朝"/>
          <w:color w:val="000000"/>
          <w:kern w:val="0"/>
          <w:szCs w:val="21"/>
        </w:rPr>
      </w:pPr>
      <w:r w:rsidRPr="009415A1">
        <w:rPr>
          <w:rFonts w:ascii="ＭＳ 明朝" w:hAnsi="ＭＳ 明朝" w:cs="ＭＳ 明朝" w:hint="eastAsia"/>
          <w:color w:val="000000"/>
          <w:kern w:val="0"/>
          <w:szCs w:val="21"/>
        </w:rPr>
        <w:t>⑵　経営計画を連名で提出する銀行持株会社等があるときは、提出者の欄を適宜補正した上で、当該銀行持株会社等の本店の所在地、商号並びに代表者の役職及び氏名を記載すること。</w:t>
      </w:r>
    </w:p>
    <w:p w:rsidR="00042D84" w:rsidRPr="009415A1" w:rsidRDefault="00042D84" w:rsidP="00626CBB">
      <w:pPr>
        <w:overflowPunct w:val="0"/>
        <w:adjustRightInd w:val="0"/>
        <w:ind w:leftChars="300" w:left="848" w:hangingChars="100" w:hanging="212"/>
        <w:textAlignment w:val="baseline"/>
        <w:rPr>
          <w:rFonts w:ascii="ＭＳ 明朝" w:hAnsi="ＭＳ 明朝" w:hint="eastAsia"/>
          <w:color w:val="000000"/>
          <w:spacing w:val="2"/>
          <w:kern w:val="0"/>
          <w:szCs w:val="21"/>
        </w:rPr>
      </w:pPr>
      <w:r>
        <w:rPr>
          <w:rFonts w:ascii="ＭＳ 明朝" w:hAnsi="ＭＳ 明朝" w:cs="ＭＳ 明朝" w:hint="eastAsia"/>
          <w:color w:val="000000"/>
          <w:kern w:val="0"/>
          <w:szCs w:val="21"/>
        </w:rPr>
        <w:t>⑶　氏を改めた者においては、旧氏（住民基本台帳法施行令（昭和</w:t>
      </w:r>
      <w:r w:rsidR="0043684B">
        <w:rPr>
          <w:rFonts w:ascii="ＭＳ 明朝" w:hAnsi="ＭＳ 明朝" w:cs="ＭＳ 明朝" w:hint="eastAsia"/>
          <w:color w:val="000000"/>
          <w:kern w:val="0"/>
          <w:szCs w:val="21"/>
        </w:rPr>
        <w:t>42</w:t>
      </w:r>
      <w:r>
        <w:rPr>
          <w:rFonts w:ascii="ＭＳ 明朝" w:hAnsi="ＭＳ 明朝" w:cs="ＭＳ 明朝" w:hint="eastAsia"/>
          <w:color w:val="000000"/>
          <w:kern w:val="0"/>
          <w:szCs w:val="21"/>
        </w:rPr>
        <w:t>年政令第</w:t>
      </w:r>
      <w:r w:rsidR="0043684B">
        <w:rPr>
          <w:rFonts w:ascii="ＭＳ 明朝" w:hAnsi="ＭＳ 明朝" w:cs="ＭＳ 明朝" w:hint="eastAsia"/>
          <w:color w:val="000000"/>
          <w:kern w:val="0"/>
          <w:szCs w:val="21"/>
        </w:rPr>
        <w:t>292</w:t>
      </w:r>
      <w:r>
        <w:rPr>
          <w:rFonts w:ascii="ＭＳ 明朝" w:hAnsi="ＭＳ 明朝" w:cs="ＭＳ 明朝" w:hint="eastAsia"/>
          <w:color w:val="000000"/>
          <w:kern w:val="0"/>
          <w:szCs w:val="21"/>
        </w:rPr>
        <w:t>号）第</w:t>
      </w:r>
      <w:r w:rsidR="0043684B">
        <w:rPr>
          <w:rFonts w:ascii="ＭＳ 明朝" w:hAnsi="ＭＳ 明朝" w:cs="ＭＳ 明朝" w:hint="eastAsia"/>
          <w:color w:val="000000"/>
          <w:kern w:val="0"/>
          <w:szCs w:val="21"/>
        </w:rPr>
        <w:t>30</w:t>
      </w:r>
      <w:r>
        <w:rPr>
          <w:rFonts w:ascii="ＭＳ 明朝" w:hAnsi="ＭＳ 明朝" w:cs="ＭＳ 明朝" w:hint="eastAsia"/>
          <w:color w:val="000000"/>
          <w:kern w:val="0"/>
          <w:szCs w:val="21"/>
        </w:rPr>
        <w:t>条の</w:t>
      </w:r>
      <w:r w:rsidR="0043684B">
        <w:rPr>
          <w:rFonts w:ascii="ＭＳ 明朝" w:hAnsi="ＭＳ 明朝" w:cs="ＭＳ 明朝" w:hint="eastAsia"/>
          <w:color w:val="000000"/>
          <w:kern w:val="0"/>
          <w:szCs w:val="21"/>
        </w:rPr>
        <w:t>13</w:t>
      </w:r>
      <w:r>
        <w:rPr>
          <w:rFonts w:ascii="ＭＳ 明朝" w:hAnsi="ＭＳ 明朝" w:cs="ＭＳ 明朝" w:hint="eastAsia"/>
          <w:color w:val="000000"/>
          <w:kern w:val="0"/>
          <w:szCs w:val="21"/>
        </w:rPr>
        <w:t>に規定する旧氏をいう。）及び名を、氏名を記載する欄に括弧書で併せて記載することができる。</w:t>
      </w:r>
    </w:p>
    <w:p w:rsidR="00626CBB" w:rsidRPr="009415A1" w:rsidRDefault="00626CBB" w:rsidP="00626CBB">
      <w:pPr>
        <w:overflowPunct w:val="0"/>
        <w:adjustRightInd w:val="0"/>
        <w:ind w:firstLineChars="200" w:firstLine="424"/>
        <w:textAlignment w:val="baseline"/>
        <w:rPr>
          <w:rFonts w:ascii="ＭＳ 明朝" w:hAnsi="ＭＳ 明朝" w:cs="ＭＳ 明朝" w:hint="eastAsia"/>
          <w:color w:val="000000"/>
          <w:kern w:val="0"/>
          <w:szCs w:val="21"/>
        </w:rPr>
      </w:pPr>
      <w:r w:rsidRPr="009415A1">
        <w:rPr>
          <w:rFonts w:ascii="ＭＳ 明朝" w:hAnsi="ＭＳ 明朝" w:cs="ＭＳ 明朝" w:hint="eastAsia"/>
          <w:color w:val="000000"/>
          <w:kern w:val="0"/>
          <w:szCs w:val="21"/>
        </w:rPr>
        <w:lastRenderedPageBreak/>
        <w:t>３.　経営計画の期間</w:t>
      </w:r>
    </w:p>
    <w:p w:rsidR="00626CBB" w:rsidRPr="009415A1" w:rsidRDefault="00626CBB" w:rsidP="00626CBB">
      <w:pPr>
        <w:overflowPunct w:val="0"/>
        <w:adjustRightInd w:val="0"/>
        <w:ind w:firstLineChars="300" w:firstLine="636"/>
        <w:textAlignment w:val="baseline"/>
        <w:rPr>
          <w:rFonts w:ascii="ＭＳ 明朝" w:hAnsi="ＭＳ 明朝" w:cs="ＭＳ 明朝" w:hint="eastAsia"/>
          <w:color w:val="000000"/>
          <w:kern w:val="0"/>
          <w:szCs w:val="21"/>
        </w:rPr>
      </w:pPr>
      <w:r w:rsidRPr="009415A1">
        <w:rPr>
          <w:rFonts w:ascii="ＭＳ 明朝" w:hAnsi="ＭＳ 明朝" w:cs="ＭＳ 明朝" w:hint="eastAsia"/>
          <w:color w:val="000000"/>
          <w:kern w:val="0"/>
          <w:szCs w:val="21"/>
        </w:rPr>
        <w:t xml:space="preserve">⑴　経営計画の始期となる月及び終期となる月を記載すること。　</w:t>
      </w:r>
    </w:p>
    <w:p w:rsidR="00626CBB" w:rsidRPr="009415A1" w:rsidRDefault="00626CBB" w:rsidP="00626CBB">
      <w:pPr>
        <w:overflowPunct w:val="0"/>
        <w:adjustRightInd w:val="0"/>
        <w:ind w:leftChars="300" w:left="848" w:hangingChars="100" w:hanging="212"/>
        <w:textAlignment w:val="baseline"/>
        <w:rPr>
          <w:rFonts w:ascii="ＭＳ 明朝" w:hAnsi="ＭＳ 明朝" w:cs="ＭＳ 明朝" w:hint="eastAsia"/>
          <w:color w:val="000000"/>
          <w:kern w:val="0"/>
          <w:szCs w:val="21"/>
        </w:rPr>
      </w:pPr>
      <w:r w:rsidRPr="009415A1">
        <w:rPr>
          <w:rFonts w:ascii="ＭＳ 明朝" w:hAnsi="ＭＳ 明朝" w:cs="ＭＳ 明朝" w:hint="eastAsia"/>
          <w:color w:val="000000"/>
          <w:kern w:val="0"/>
          <w:szCs w:val="21"/>
        </w:rPr>
        <w:t>⑵　経営計画の始期は経営計画の提出の日の属する事業年度の翌事業年度の開始の日とし、経営計画の始期となる月については当該日が属する月を記載すること。</w:t>
      </w:r>
    </w:p>
    <w:p w:rsidR="00626CBB" w:rsidRPr="009415A1" w:rsidRDefault="00626CBB" w:rsidP="00626CBB">
      <w:pPr>
        <w:overflowPunct w:val="0"/>
        <w:adjustRightInd w:val="0"/>
        <w:ind w:leftChars="300" w:left="848" w:hangingChars="100" w:hanging="212"/>
        <w:textAlignment w:val="baseline"/>
        <w:rPr>
          <w:rFonts w:ascii="ＭＳ 明朝" w:hAnsi="ＭＳ 明朝" w:cs="ＭＳ 明朝"/>
          <w:color w:val="000000"/>
          <w:kern w:val="0"/>
          <w:szCs w:val="21"/>
        </w:rPr>
      </w:pPr>
      <w:r w:rsidRPr="009415A1">
        <w:rPr>
          <w:rFonts w:ascii="ＭＳ 明朝" w:hAnsi="ＭＳ 明朝" w:cs="ＭＳ 明朝" w:hint="eastAsia"/>
          <w:color w:val="000000"/>
          <w:kern w:val="0"/>
          <w:szCs w:val="21"/>
        </w:rPr>
        <w:t>⑶　経営計画の終期となる月については、経営計画の始期から３年以内の事業年度の終了の日の属する月を記載すること。</w:t>
      </w:r>
    </w:p>
    <w:p w:rsidR="00626CBB" w:rsidRPr="009415A1" w:rsidRDefault="00626CBB" w:rsidP="00626CBB">
      <w:pPr>
        <w:overflowPunct w:val="0"/>
        <w:adjustRightInd w:val="0"/>
        <w:ind w:firstLineChars="200" w:firstLine="424"/>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４．経営計画の期間中の収益見通し</w:t>
      </w:r>
    </w:p>
    <w:p w:rsidR="00626CBB" w:rsidRPr="009415A1" w:rsidRDefault="00626CBB" w:rsidP="00626CBB">
      <w:pPr>
        <w:overflowPunct w:val="0"/>
        <w:adjustRightInd w:val="0"/>
        <w:ind w:leftChars="301" w:left="638" w:firstLineChars="100" w:firstLine="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経営に関連する各種の指標につき（別表１）により過去の実績又は実績見込み及び経営計画の実施期間中における見込みを記載した上で、これらの指標のうち次に掲げる指標につき経営計画の終期において達成すべき見通し（①に掲げる指標にあっては経営計画の始期の水準を上回る水準のものに限り、②に掲げる指標にあっては経営計画の始期の水準を下回る水準のものに限る。）を記載すること。</w:t>
      </w:r>
    </w:p>
    <w:p w:rsidR="00626CBB" w:rsidRPr="009415A1" w:rsidRDefault="00626CBB" w:rsidP="00626CBB">
      <w:pPr>
        <w:overflowPunct w:val="0"/>
        <w:adjustRightInd w:val="0"/>
        <w:ind w:leftChars="300" w:left="84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①　コア業務純益（（別表１）に掲げる方法により計算された同表に規定するコア業務純益をいい、経営計画を提出する金融機関等が銀行持株会社等であるときは、当該銀行持株会社等の子会社である銀行等の合算ベースのコア業務純益とする。）又はコア業務純益ＲＯＡ（（別表１）に掲げる方法により計算された同表に規定するコア業務純益ＲＯＡをいい、経営計画を提出する金融機関等が銀行持株会社等であるときは、当該銀行持株会社等の子会社である銀行等の合算ベースのコア業務純益ＲＯＡとする。）を含む収益性を示す一つ以上の指標</w:t>
      </w:r>
    </w:p>
    <w:p w:rsidR="00626CBB" w:rsidRPr="009415A1" w:rsidRDefault="00626CBB" w:rsidP="00626CBB">
      <w:pPr>
        <w:overflowPunct w:val="0"/>
        <w:adjustRightInd w:val="0"/>
        <w:ind w:leftChars="300" w:left="84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②　業務粗利益経費率（（別表１）に掲げる方法により計算された同表に規定する業務粗利益経費率をいい、経営計画を提出する金融機関等が銀行持株会社等であるときは、当該銀行持株会社等の子会社である銀行等の合算ベースの業務粗利益経費率とする。）を含む業務の効率を示す一つ以上の指標</w:t>
      </w:r>
    </w:p>
    <w:p w:rsidR="00626CBB" w:rsidRPr="009415A1" w:rsidRDefault="00626CBB" w:rsidP="00626CBB">
      <w:pPr>
        <w:overflowPunct w:val="0"/>
        <w:adjustRightInd w:val="0"/>
        <w:ind w:firstLineChars="200" w:firstLine="424"/>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５．収益見通しを達成するための方策</w:t>
      </w:r>
    </w:p>
    <w:p w:rsidR="00626CBB" w:rsidRPr="009415A1" w:rsidRDefault="00626CBB" w:rsidP="00626CBB">
      <w:pPr>
        <w:overflowPunct w:val="0"/>
        <w:adjustRightInd w:val="0"/>
        <w:ind w:leftChars="300" w:left="636" w:firstLineChars="100" w:firstLine="212"/>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収益見通しを達成するための方策については、経営の現状分析を踏まえた上で、地域密着型金融に関する取組み等による収益性の確保及び業務の効率化のための方策等を記載すること。</w:t>
      </w:r>
    </w:p>
    <w:p w:rsidR="00626CBB" w:rsidRPr="009415A1" w:rsidRDefault="00626CBB" w:rsidP="00626CBB">
      <w:pPr>
        <w:overflowPunct w:val="0"/>
        <w:adjustRightInd w:val="0"/>
        <w:ind w:firstLineChars="200" w:firstLine="424"/>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６．責任ある経営体制の確立に関する事項</w:t>
      </w:r>
    </w:p>
    <w:p w:rsidR="00626CBB" w:rsidRPr="009415A1" w:rsidRDefault="00626CBB" w:rsidP="00626CBB">
      <w:pPr>
        <w:overflowPunct w:val="0"/>
        <w:adjustRightInd w:val="0"/>
        <w:ind w:leftChars="300" w:left="84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⑴　「業務執行に対する監査又は監督の体制の強化のための方策」、「リスク管理の体制の強化のための方策」、「法令遵守の体制の強化のための方策」、「経営に対する評価の客観性の確保のための方策」及び「情報開示の充実のための方策」のそれぞれについて、これまで実施していた経営強化計画（第</w:t>
      </w:r>
      <w:r w:rsidRPr="009415A1">
        <w:rPr>
          <w:rFonts w:ascii="ＭＳ 明朝" w:hAnsi="ＭＳ 明朝"/>
          <w:color w:val="000000"/>
          <w:kern w:val="0"/>
          <w:szCs w:val="21"/>
        </w:rPr>
        <w:t>56</w:t>
      </w:r>
      <w:r w:rsidRPr="009415A1">
        <w:rPr>
          <w:rFonts w:ascii="ＭＳ 明朝" w:hAnsi="ＭＳ 明朝" w:cs="ＭＳ 明朝" w:hint="eastAsia"/>
          <w:color w:val="000000"/>
          <w:kern w:val="0"/>
          <w:szCs w:val="21"/>
        </w:rPr>
        <w:t>条第１項に規定する経営強化計画をいう。）又は経営計画（同項に規定する経営計画をいう。）に記載されていたそれぞれの方策の維持又は強化に関する事項を記載すること。</w:t>
      </w:r>
    </w:p>
    <w:p w:rsidR="00626CBB" w:rsidRPr="009415A1" w:rsidRDefault="00626CBB" w:rsidP="00626CBB">
      <w:pPr>
        <w:overflowPunct w:val="0"/>
        <w:adjustRightInd w:val="0"/>
        <w:ind w:leftChars="300" w:left="84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⑵　経営計画を連名で提出する銀行持株会社等があるときは、当該銀行持株会社等についても同様の事項を記載するとともに、当該銀行持株会社等における「責任ある経営管理体制の確立に関する事項」として以下の事項を記載すること。</w:t>
      </w:r>
    </w:p>
    <w:p w:rsidR="00626CBB" w:rsidRPr="009415A1" w:rsidRDefault="00626CBB" w:rsidP="00626CBB">
      <w:pPr>
        <w:overflowPunct w:val="0"/>
        <w:adjustRightInd w:val="0"/>
        <w:ind w:leftChars="400" w:left="1060"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①　経営計画を実施する子会社（法第２条第４項に規定する子会社をいう。）の議決権の適切な保有を継続すること等を通じて当該子会社の銀行持株会社等としての地位を保持する旨</w:t>
      </w:r>
    </w:p>
    <w:p w:rsidR="00626CBB" w:rsidRPr="009415A1" w:rsidRDefault="00626CBB" w:rsidP="00626CBB">
      <w:pPr>
        <w:overflowPunct w:val="0"/>
        <w:adjustRightInd w:val="0"/>
        <w:ind w:leftChars="400" w:left="1060"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②　経営計画を実施する子会社の経営管理を担当する役職員の配置その他の当該経営管理を適切に行うための体制に関する事項</w:t>
      </w:r>
    </w:p>
    <w:p w:rsidR="00626CBB" w:rsidRPr="009415A1" w:rsidRDefault="00626CBB" w:rsidP="00626CBB">
      <w:pPr>
        <w:overflowPunct w:val="0"/>
        <w:adjustRightInd w:val="0"/>
        <w:ind w:firstLineChars="200" w:firstLine="424"/>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７．剰余金の処分の方針</w:t>
      </w:r>
    </w:p>
    <w:p w:rsidR="00626CBB" w:rsidRPr="009415A1" w:rsidRDefault="00626CBB" w:rsidP="00626CBB">
      <w:pPr>
        <w:overflowPunct w:val="0"/>
        <w:adjustRightInd w:val="0"/>
        <w:ind w:leftChars="300" w:left="84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⑴　配当に対する方針を（別表２）により記載するとともに、役員に対する報酬及び賞与についての方針を記載すること。</w:t>
      </w:r>
    </w:p>
    <w:p w:rsidR="00626CBB" w:rsidRPr="009415A1" w:rsidRDefault="00626CBB" w:rsidP="00626CBB">
      <w:pPr>
        <w:overflowPunct w:val="0"/>
        <w:adjustRightInd w:val="0"/>
        <w:ind w:leftChars="300" w:left="848" w:hangingChars="100" w:hanging="212"/>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lastRenderedPageBreak/>
        <w:t>⑵　経営計画を連名で提出する銀行持株会社等があるときは、当該銀行持株会社等についても同様の記載をすること。</w:t>
      </w:r>
    </w:p>
    <w:p w:rsidR="00626CBB" w:rsidRPr="009415A1" w:rsidRDefault="00626CBB" w:rsidP="00626CBB">
      <w:pPr>
        <w:overflowPunct w:val="0"/>
        <w:adjustRightInd w:val="0"/>
        <w:ind w:firstLineChars="200" w:firstLine="424"/>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８．財務内容の健全性及び業務の健全かつ適切な運営の確保のための方策</w:t>
      </w:r>
    </w:p>
    <w:p w:rsidR="00626CBB" w:rsidRPr="009415A1" w:rsidRDefault="00626CBB" w:rsidP="00626CBB">
      <w:pPr>
        <w:overflowPunct w:val="0"/>
        <w:adjustRightInd w:val="0"/>
        <w:ind w:leftChars="300" w:left="84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⑴　経営管理に係る体制及び各種のリスクの管理の状況並びにこれらについての今後の方針について記載すること。この場合において、（別表１）に記載されているもののほか、根拠となっているデータ及び当該方策を確実に実施するための体制整備に関する事項をあわせて記載すること。</w:t>
      </w:r>
    </w:p>
    <w:p w:rsidR="00626CBB" w:rsidRPr="009415A1" w:rsidRDefault="00626CBB" w:rsidP="00626CBB">
      <w:pPr>
        <w:overflowPunct w:val="0"/>
        <w:adjustRightInd w:val="0"/>
        <w:ind w:leftChars="300" w:left="848" w:hangingChars="100" w:hanging="212"/>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⑵　経営計画を連名で提出する銀行持株会社等があるときは、当該銀行持株会社等についても同様の記載をするほか、その子会社（法第２条第４項に規定する子会社をいう。）の財務の健全性及び業務の健全かつ適切な運営の確保のために行う経営管理の内容をあわせて記載すること。</w:t>
      </w:r>
    </w:p>
    <w:p w:rsidR="00626CBB" w:rsidRPr="009415A1" w:rsidRDefault="00626CBB" w:rsidP="00626CBB">
      <w:pPr>
        <w:overflowPunct w:val="0"/>
        <w:adjustRightInd w:val="0"/>
        <w:ind w:leftChars="201" w:left="63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９．協定銀行が現に保有する取得株式等又は取得貸付債権のうち経営計画を提出する金融機関等を発行者又は債務者とするものの額及びその内容</w:t>
      </w:r>
    </w:p>
    <w:p w:rsidR="00626CBB" w:rsidRPr="009415A1" w:rsidRDefault="00626CBB" w:rsidP="00626CBB">
      <w:pPr>
        <w:overflowPunct w:val="0"/>
        <w:adjustRightInd w:val="0"/>
        <w:ind w:leftChars="300" w:left="636" w:firstLineChars="100" w:firstLine="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「額」及び「内容」については、取得株式等又は取得貸付債権の種類に応じ、次の①から④までに掲げる事項を記載すること。</w:t>
      </w:r>
    </w:p>
    <w:p w:rsidR="00626CBB" w:rsidRPr="009415A1" w:rsidRDefault="00626CBB" w:rsidP="00626CBB">
      <w:pPr>
        <w:overflowPunct w:val="0"/>
        <w:adjustRightInd w:val="0"/>
        <w:ind w:firstLineChars="300" w:firstLine="636"/>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①　株式</w:t>
      </w:r>
    </w:p>
    <w:p w:rsidR="00626CBB" w:rsidRPr="009415A1" w:rsidRDefault="00626CBB" w:rsidP="00626CBB">
      <w:pPr>
        <w:overflowPunct w:val="0"/>
        <w:adjustRightInd w:val="0"/>
        <w:ind w:firstLineChars="400" w:firstLine="848"/>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イ　種類、払込金額の総額、発行株式数、払込金額、発行の方法及び非資本計上額</w:t>
      </w:r>
    </w:p>
    <w:p w:rsidR="00626CBB" w:rsidRPr="009415A1" w:rsidRDefault="00626CBB" w:rsidP="00626CBB">
      <w:pPr>
        <w:overflowPunct w:val="0"/>
        <w:adjustRightInd w:val="0"/>
        <w:ind w:firstLineChars="400" w:firstLine="848"/>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ロ　会社法第</w:t>
      </w:r>
      <w:r w:rsidRPr="009415A1">
        <w:rPr>
          <w:rFonts w:ascii="ＭＳ 明朝" w:hAnsi="ＭＳ 明朝"/>
          <w:color w:val="000000"/>
          <w:kern w:val="0"/>
          <w:szCs w:val="21"/>
        </w:rPr>
        <w:t>108</w:t>
      </w:r>
      <w:r w:rsidRPr="009415A1">
        <w:rPr>
          <w:rFonts w:ascii="ＭＳ 明朝" w:hAnsi="ＭＳ 明朝" w:cs="ＭＳ 明朝" w:hint="eastAsia"/>
          <w:color w:val="000000"/>
          <w:kern w:val="0"/>
          <w:szCs w:val="21"/>
        </w:rPr>
        <w:t>条第</w:t>
      </w:r>
      <w:r w:rsidRPr="009415A1">
        <w:rPr>
          <w:rFonts w:ascii="ＭＳ 明朝" w:hAnsi="ＭＳ 明朝"/>
          <w:color w:val="000000"/>
          <w:kern w:val="0"/>
          <w:szCs w:val="21"/>
        </w:rPr>
        <w:t>1</w:t>
      </w:r>
      <w:r w:rsidRPr="009415A1">
        <w:rPr>
          <w:rFonts w:ascii="ＭＳ 明朝" w:hAnsi="ＭＳ 明朝" w:cs="ＭＳ 明朝" w:hint="eastAsia"/>
          <w:color w:val="000000"/>
          <w:kern w:val="0"/>
          <w:szCs w:val="21"/>
        </w:rPr>
        <w:t>項各号に掲げる内容</w:t>
      </w:r>
    </w:p>
    <w:p w:rsidR="00626CBB" w:rsidRPr="009415A1" w:rsidRDefault="00626CBB" w:rsidP="00626CBB">
      <w:pPr>
        <w:overflowPunct w:val="0"/>
        <w:adjustRightInd w:val="0"/>
        <w:ind w:leftChars="400" w:left="1060"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ハ　議決権の数及び総株主の議決権に占める割合（議決権のある株式である場合に限る。）</w:t>
      </w:r>
    </w:p>
    <w:p w:rsidR="00626CBB" w:rsidRPr="009415A1" w:rsidRDefault="00626CBB" w:rsidP="00626CBB">
      <w:pPr>
        <w:overflowPunct w:val="0"/>
        <w:adjustRightInd w:val="0"/>
        <w:ind w:leftChars="400" w:left="1060"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ニ　株式の割当てを受ける権利、他の種類の株式への転換の請求の権利の内容　等</w:t>
      </w:r>
    </w:p>
    <w:p w:rsidR="00626CBB" w:rsidRPr="009415A1" w:rsidRDefault="00626CBB" w:rsidP="00626CBB">
      <w:pPr>
        <w:overflowPunct w:val="0"/>
        <w:adjustRightInd w:val="0"/>
        <w:ind w:firstLineChars="300" w:firstLine="636"/>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②　劣後特約付社債（法第２条第２項に規定する劣後特約付社債をいう。）</w:t>
      </w:r>
    </w:p>
    <w:p w:rsidR="00626CBB" w:rsidRPr="009415A1" w:rsidRDefault="00626CBB" w:rsidP="00626CBB">
      <w:pPr>
        <w:overflowPunct w:val="0"/>
        <w:adjustRightInd w:val="0"/>
        <w:ind w:left="848" w:hangingChars="400" w:hanging="848"/>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 xml:space="preserve">　　　　　社債総額、利率、償還の方法及び期限、利息支払の方法及び期限、劣後特約の内容　等</w:t>
      </w:r>
    </w:p>
    <w:p w:rsidR="00626CBB" w:rsidRPr="009415A1" w:rsidRDefault="00626CBB" w:rsidP="00626CBB">
      <w:pPr>
        <w:overflowPunct w:val="0"/>
        <w:adjustRightInd w:val="0"/>
        <w:ind w:leftChars="306" w:left="861"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③　優先出資</w:t>
      </w:r>
    </w:p>
    <w:p w:rsidR="00626CBB" w:rsidRPr="009415A1" w:rsidRDefault="00626CBB" w:rsidP="00626CBB">
      <w:pPr>
        <w:overflowPunct w:val="0"/>
        <w:adjustRightInd w:val="0"/>
        <w:ind w:firstLineChars="400" w:firstLine="848"/>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イ　種類、払込金額の総額、発行口数、払込金額、発行の方法及び非資本計上額</w:t>
      </w:r>
    </w:p>
    <w:p w:rsidR="00626CBB" w:rsidRPr="009415A1" w:rsidRDefault="00626CBB" w:rsidP="00626CBB">
      <w:pPr>
        <w:overflowPunct w:val="0"/>
        <w:adjustRightInd w:val="0"/>
        <w:ind w:leftChars="400" w:left="1060"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ロ　協同組織金融機関の優先出資に関する法律第</w:t>
      </w:r>
      <w:r w:rsidR="00F04EC6">
        <w:rPr>
          <w:rFonts w:ascii="ＭＳ 明朝" w:hAnsi="ＭＳ 明朝" w:hint="eastAsia"/>
          <w:color w:val="000000"/>
          <w:kern w:val="0"/>
          <w:szCs w:val="21"/>
        </w:rPr>
        <w:t>５</w:t>
      </w:r>
      <w:r w:rsidRPr="009415A1">
        <w:rPr>
          <w:rFonts w:ascii="ＭＳ 明朝" w:hAnsi="ＭＳ 明朝" w:cs="ＭＳ 明朝" w:hint="eastAsia"/>
          <w:color w:val="000000"/>
          <w:kern w:val="0"/>
          <w:szCs w:val="21"/>
        </w:rPr>
        <w:t>条第１項第２号から第４号までに掲げる内容　等</w:t>
      </w:r>
    </w:p>
    <w:p w:rsidR="00626CBB" w:rsidRPr="009415A1" w:rsidRDefault="00626CBB" w:rsidP="00626CBB">
      <w:pPr>
        <w:overflowPunct w:val="0"/>
        <w:adjustRightInd w:val="0"/>
        <w:ind w:leftChars="300" w:left="84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④　劣後特約付金銭消費貸借（法第２条第３項に規定する劣後特約付金銭消費貸借をいう。）</w:t>
      </w:r>
    </w:p>
    <w:p w:rsidR="00626CBB" w:rsidRPr="009415A1" w:rsidRDefault="00626CBB" w:rsidP="00626CBB">
      <w:pPr>
        <w:overflowPunct w:val="0"/>
        <w:adjustRightInd w:val="0"/>
        <w:ind w:leftChars="400" w:left="848" w:firstLineChars="100" w:firstLine="212"/>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借入金額、利息、元金の返済の方法及び期限、利息支払の方法及び期限、劣後特約の内容　等</w:t>
      </w:r>
    </w:p>
    <w:p w:rsidR="00B663EC" w:rsidRPr="009415A1" w:rsidRDefault="00B663EC" w:rsidP="00392825">
      <w:pPr>
        <w:overflowPunct w:val="0"/>
        <w:adjustRightInd w:val="0"/>
        <w:ind w:left="212" w:hanging="210"/>
        <w:textAlignment w:val="baseline"/>
        <w:rPr>
          <w:rFonts w:ascii="ＭＳ 明朝" w:hint="eastAsia"/>
          <w:color w:val="000000"/>
          <w:spacing w:val="2"/>
          <w:kern w:val="0"/>
          <w:szCs w:val="21"/>
        </w:rPr>
      </w:pPr>
    </w:p>
    <w:p w:rsidR="00392825" w:rsidRPr="009415A1" w:rsidRDefault="00392825" w:rsidP="00392825">
      <w:pPr>
        <w:overflowPunct w:val="0"/>
        <w:adjustRightInd w:val="0"/>
        <w:textAlignment w:val="baseline"/>
        <w:rPr>
          <w:rFonts w:ascii="ＭＳ 明朝"/>
          <w:color w:val="000000"/>
          <w:spacing w:val="2"/>
          <w:kern w:val="0"/>
          <w:szCs w:val="21"/>
        </w:rPr>
      </w:pPr>
      <w:r w:rsidRPr="009415A1">
        <w:rPr>
          <w:rFonts w:ascii="Times New Roman" w:hAnsi="Times New Roman" w:cs="ＭＳ 明朝" w:hint="eastAsia"/>
          <w:color w:val="000000"/>
          <w:kern w:val="0"/>
          <w:szCs w:val="21"/>
          <w:shd w:val="pct70" w:color="FFFFFF" w:fill="auto"/>
        </w:rPr>
        <w:t>（別表１）（銀行持株会社等以外の金融機関等－単体）</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1"/>
        <w:gridCol w:w="319"/>
        <w:gridCol w:w="319"/>
        <w:gridCol w:w="319"/>
        <w:gridCol w:w="319"/>
        <w:gridCol w:w="1488"/>
        <w:gridCol w:w="744"/>
        <w:gridCol w:w="744"/>
        <w:gridCol w:w="850"/>
        <w:gridCol w:w="744"/>
        <w:gridCol w:w="744"/>
        <w:gridCol w:w="744"/>
        <w:gridCol w:w="744"/>
        <w:gridCol w:w="744"/>
        <w:gridCol w:w="744"/>
      </w:tblGrid>
      <w:tr w:rsidR="00392825" w:rsidRPr="009415A1" w:rsidTr="003A06E5">
        <w:tblPrEx>
          <w:tblCellMar>
            <w:top w:w="0" w:type="dxa"/>
            <w:bottom w:w="0" w:type="dxa"/>
          </w:tblCellMar>
        </w:tblPrEx>
        <w:trPr>
          <w:trHeight w:val="1008"/>
        </w:trPr>
        <w:tc>
          <w:tcPr>
            <w:tcW w:w="3295" w:type="dxa"/>
            <w:gridSpan w:val="6"/>
            <w:tcBorders>
              <w:top w:val="single" w:sz="4" w:space="0" w:color="000000"/>
              <w:left w:val="single" w:sz="4" w:space="0" w:color="000000"/>
              <w:bottom w:val="single" w:sz="4" w:space="0" w:color="000000"/>
              <w:right w:val="single" w:sz="4" w:space="0" w:color="000000"/>
              <w:tl2br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実績</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実績</w:t>
            </w: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実績／実</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績見込み</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r>
      <w:tr w:rsidR="00392825" w:rsidRPr="009415A1">
        <w:tblPrEx>
          <w:tblCellMar>
            <w:top w:w="0" w:type="dxa"/>
            <w:bottom w:w="0" w:type="dxa"/>
          </w:tblCellMar>
        </w:tblPrEx>
        <w:trPr>
          <w:trHeight w:val="336"/>
        </w:trPr>
        <w:tc>
          <w:tcPr>
            <w:tcW w:w="531" w:type="dxa"/>
            <w:vMerge w:val="restart"/>
            <w:tcBorders>
              <w:top w:val="single" w:sz="4" w:space="0" w:color="000000"/>
              <w:left w:val="single" w:sz="4" w:space="0" w:color="000000"/>
              <w:bottom w:val="nil"/>
              <w:right w:val="single" w:sz="4" w:space="0" w:color="000000"/>
            </w:tcBorders>
            <w:textDirection w:val="tbRlV"/>
          </w:tcPr>
          <w:p w:rsidR="00392825" w:rsidRPr="009415A1" w:rsidRDefault="006C106A" w:rsidP="0009266D">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Pr>
                <w:rFonts w:ascii="ＭＳ 明朝" w:hint="eastAsia"/>
                <w:kern w:val="0"/>
                <w:sz w:val="16"/>
                <w:szCs w:val="16"/>
              </w:rPr>
              <w:t>資産・負債・純資産の部</w:t>
            </w:r>
            <w:r w:rsidR="0009266D" w:rsidRPr="009415A1">
              <w:rPr>
                <w:rFonts w:ascii="ＭＳ 明朝" w:hint="eastAsia"/>
                <w:kern w:val="0"/>
                <w:sz w:val="16"/>
                <w:szCs w:val="16"/>
              </w:rPr>
              <w:t>(平均残高)</w:t>
            </w:r>
          </w:p>
        </w:tc>
        <w:tc>
          <w:tcPr>
            <w:tcW w:w="2764" w:type="dxa"/>
            <w:gridSpan w:val="5"/>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資産の部合計</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tcBorders>
              <w:top w:val="nil"/>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うち貸出金</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負債の部合計</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うち預金・譲渡性預金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うち債券</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rPr>
              <w:t>純資産</w:t>
            </w:r>
            <w:r w:rsidRPr="009415A1">
              <w:rPr>
                <w:rFonts w:ascii="Times New Roman" w:hAnsi="Times New Roman" w:cs="ＭＳ 明朝" w:hint="eastAsia"/>
                <w:color w:val="000000"/>
                <w:kern w:val="0"/>
                <w:sz w:val="16"/>
                <w:szCs w:val="16"/>
                <w:shd w:val="pct70" w:color="FFFFFF" w:fill="auto"/>
              </w:rPr>
              <w:t>の部合計</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うち資本金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うち資本剰余金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うち資本準備金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うち利益剰余金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うち利益準備金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うち土地再評価差額金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w:t>
            </w:r>
            <w:r w:rsidRPr="009415A1">
              <w:rPr>
                <w:rFonts w:ascii="Times New Roman" w:hAnsi="Times New Roman" w:cs="ＭＳ 明朝" w:hint="eastAsia"/>
                <w:color w:val="000000"/>
                <w:kern w:val="0"/>
                <w:sz w:val="16"/>
                <w:szCs w:val="16"/>
              </w:rPr>
              <w:t>その他有価証券評価差額金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うち自己株式</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val="restart"/>
            <w:tcBorders>
              <w:top w:val="double" w:sz="4" w:space="0" w:color="000000"/>
              <w:left w:val="single" w:sz="4" w:space="0" w:color="000000"/>
              <w:bottom w:val="nil"/>
              <w:right w:val="single" w:sz="4" w:space="0" w:color="000000"/>
            </w:tcBorders>
            <w:textDirection w:val="tbRlV"/>
          </w:tcPr>
          <w:p w:rsidR="00392825" w:rsidRPr="009415A1" w:rsidRDefault="0009266D" w:rsidP="0009266D">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sidRPr="009415A1">
              <w:rPr>
                <w:rFonts w:ascii="ＭＳ 明朝" w:hint="eastAsia"/>
                <w:kern w:val="0"/>
                <w:sz w:val="16"/>
                <w:szCs w:val="16"/>
              </w:rPr>
              <w:t>損益</w:t>
            </w:r>
          </w:p>
        </w:tc>
        <w:tc>
          <w:tcPr>
            <w:tcW w:w="2764" w:type="dxa"/>
            <w:gridSpan w:val="5"/>
            <w:tcBorders>
              <w:top w:val="doub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業務純益</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業務収益</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資金運用収益</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うち貸出金収入</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役務取引等収益</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特定取引収益</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その他業務収益</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tcBorders>
              <w:top w:val="nil"/>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うち国債等債券関係</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（＝国債等債券売却益</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 xml:space="preserve">　＋国債等債券償還益）</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doub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業務費用</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資金調達費用</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うち預金・譲渡性預金</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利息</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役務取引等費用</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特定取引費用</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その他業務費用</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1680"/>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うち国債等債券関係</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（＝国債等債券売却損</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 xml:space="preserve">　＋国債等債券償還損</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 xml:space="preserve">　＋国債等債券償却＋</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 xml:space="preserve">　債券費・社債費）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一般貸倒引当金繰入額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経費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うち人件費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1807" w:type="dxa"/>
            <w:gridSpan w:val="2"/>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うち物件費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tcBorders>
              <w:top w:val="nil"/>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488"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うち機械化関連費</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用</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金銭の信託運用見合費用</w:t>
            </w: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業務粗利益</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（＝業務純益＋一般貸倒引当金繰入</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 xml:space="preserve">　額＋債券費＋経費）</w:t>
            </w: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国債等債券関係損益</w:t>
            </w: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コア業務純益</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（＝業務純益＋一般貸倒引当金繰入</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 xml:space="preserve">　額－国債等債券関係損益）</w:t>
            </w: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臨時損益</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うち不良債権処理損失額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個別貸倒引当金繰入額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貸出金償却</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sing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その他の処理額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うち株式等関係損益</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経常利益</w:t>
            </w: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特別損益</w:t>
            </w: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税引前当期（中間）純利益</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法人税、住民税及び事業税</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法人税等調整額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当期（中間）純利益</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val="restart"/>
            <w:tcBorders>
              <w:top w:val="double" w:sz="4" w:space="0" w:color="000000"/>
              <w:left w:val="single" w:sz="4" w:space="0" w:color="000000"/>
              <w:bottom w:val="nil"/>
              <w:right w:val="single" w:sz="4" w:space="0" w:color="000000"/>
            </w:tcBorders>
            <w:textDirection w:val="tbRlV"/>
          </w:tcPr>
          <w:p w:rsidR="00392825" w:rsidRPr="009415A1" w:rsidRDefault="00882953" w:rsidP="00882953">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sidRPr="009415A1">
              <w:rPr>
                <w:rFonts w:ascii="ＭＳ 明朝" w:hint="eastAsia"/>
                <w:kern w:val="0"/>
                <w:sz w:val="16"/>
                <w:szCs w:val="16"/>
              </w:rPr>
              <w:t>経営指標(％)</w:t>
            </w:r>
          </w:p>
        </w:tc>
        <w:tc>
          <w:tcPr>
            <w:tcW w:w="2764" w:type="dxa"/>
            <w:gridSpan w:val="5"/>
            <w:tcBorders>
              <w:top w:val="doub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資金運用利回</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貸出金利回</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資金調達原価率</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1344"/>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預金等利回</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（＝（預金利息＋譲渡性預金利　息）／預金・譲渡性預金平均　残高合計）</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sing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資金調達経費率</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（＝経費／預金・譲渡性預金・</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 xml:space="preserve">　債券平均残高合計）</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預貸率</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総資金利鞘</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（＝資金運用利回－資金調達原価率）</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預貸金利鞘</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（＝貸出金利回－預金等利回－資金</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 xml:space="preserve">　調達経費率）</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当期利益</w:t>
            </w:r>
            <w:r w:rsidRPr="009415A1">
              <w:rPr>
                <w:rFonts w:ascii="Times New Roman" w:hAnsi="Times New Roman"/>
                <w:color w:val="000000"/>
                <w:kern w:val="0"/>
                <w:sz w:val="16"/>
                <w:szCs w:val="16"/>
                <w:shd w:val="pct70" w:color="FFFFFF" w:fill="auto"/>
              </w:rPr>
              <w:t>ROE</w:t>
            </w:r>
          </w:p>
          <w:p w:rsidR="00392825" w:rsidRPr="009415A1" w:rsidRDefault="007C72AA"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Times New Roman" w:hAnsi="Times New Roman" w:cs="ＭＳ 明朝" w:hint="eastAsia"/>
                <w:color w:val="000000"/>
                <w:kern w:val="0"/>
                <w:sz w:val="16"/>
                <w:szCs w:val="16"/>
                <w:shd w:val="pct70" w:color="FFFFFF" w:fill="auto"/>
              </w:rPr>
              <w:t>（＝</w:t>
            </w:r>
            <w:r w:rsidR="00392825" w:rsidRPr="009415A1">
              <w:rPr>
                <w:rFonts w:ascii="Times New Roman" w:hAnsi="Times New Roman" w:cs="ＭＳ 明朝" w:hint="eastAsia"/>
                <w:color w:val="000000"/>
                <w:kern w:val="0"/>
                <w:sz w:val="16"/>
                <w:szCs w:val="16"/>
                <w:shd w:val="pct70" w:color="FFFFFF" w:fill="auto"/>
              </w:rPr>
              <w:t>当期（中間）純利益／</w:t>
            </w:r>
            <w:r w:rsidR="00392825" w:rsidRPr="009415A1">
              <w:rPr>
                <w:rFonts w:ascii="Times New Roman" w:hAnsi="Times New Roman" w:cs="ＭＳ 明朝" w:hint="eastAsia"/>
                <w:color w:val="000000"/>
                <w:kern w:val="0"/>
                <w:sz w:val="16"/>
                <w:szCs w:val="16"/>
              </w:rPr>
              <w:t>純資産</w:t>
            </w:r>
            <w:r w:rsidR="00392825" w:rsidRPr="009415A1">
              <w:rPr>
                <w:rFonts w:ascii="Times New Roman" w:hAnsi="Times New Roman" w:cs="ＭＳ 明朝" w:hint="eastAsia"/>
                <w:color w:val="000000"/>
                <w:kern w:val="0"/>
                <w:sz w:val="16"/>
                <w:szCs w:val="16"/>
                <w:shd w:val="pct70" w:color="FFFFFF" w:fill="auto"/>
              </w:rPr>
              <w:t>）</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当期利益</w:t>
            </w:r>
            <w:r w:rsidRPr="009415A1">
              <w:rPr>
                <w:rFonts w:ascii="Times New Roman" w:hAnsi="Times New Roman"/>
                <w:color w:val="000000"/>
                <w:kern w:val="0"/>
                <w:sz w:val="16"/>
                <w:szCs w:val="16"/>
                <w:shd w:val="pct70" w:color="FFFFFF" w:fill="auto"/>
              </w:rPr>
              <w:t>ROA</w:t>
            </w:r>
          </w:p>
          <w:p w:rsidR="00392825" w:rsidRPr="007C72AA" w:rsidRDefault="007C72AA"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Pr>
                <w:rFonts w:ascii="Times New Roman" w:hAnsi="Times New Roman" w:cs="ＭＳ 明朝" w:hint="eastAsia"/>
                <w:color w:val="000000"/>
                <w:kern w:val="0"/>
                <w:sz w:val="16"/>
                <w:szCs w:val="16"/>
                <w:shd w:val="pct70" w:color="FFFFFF" w:fill="auto"/>
              </w:rPr>
              <w:t>（＝</w:t>
            </w:r>
            <w:r w:rsidR="00392825" w:rsidRPr="009415A1">
              <w:rPr>
                <w:rFonts w:ascii="Times New Roman" w:hAnsi="Times New Roman" w:cs="ＭＳ 明朝" w:hint="eastAsia"/>
                <w:color w:val="000000"/>
                <w:kern w:val="0"/>
                <w:sz w:val="16"/>
                <w:szCs w:val="16"/>
                <w:shd w:val="pct70" w:color="FFFFFF" w:fill="auto"/>
              </w:rPr>
              <w:t>当期（中間）純利益／総資産）</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コア業務純益</w:t>
            </w:r>
            <w:r w:rsidRPr="009415A1">
              <w:rPr>
                <w:rFonts w:ascii="Times New Roman" w:hAnsi="Times New Roman"/>
                <w:color w:val="000000"/>
                <w:kern w:val="0"/>
                <w:sz w:val="16"/>
                <w:szCs w:val="16"/>
                <w:shd w:val="pct70" w:color="FFFFFF" w:fill="auto"/>
              </w:rPr>
              <w:t>ROE</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（＝コア業務純益／</w:t>
            </w:r>
            <w:r w:rsidRPr="009415A1">
              <w:rPr>
                <w:rFonts w:ascii="Times New Roman" w:hAnsi="Times New Roman" w:cs="ＭＳ 明朝" w:hint="eastAsia"/>
                <w:color w:val="000000"/>
                <w:kern w:val="0"/>
                <w:sz w:val="16"/>
                <w:szCs w:val="16"/>
              </w:rPr>
              <w:t>純資産</w:t>
            </w:r>
            <w:r w:rsidRPr="009415A1">
              <w:rPr>
                <w:rFonts w:ascii="Times New Roman" w:hAnsi="Times New Roman" w:cs="ＭＳ 明朝" w:hint="eastAsia"/>
                <w:color w:val="000000"/>
                <w:kern w:val="0"/>
                <w:sz w:val="16"/>
                <w:szCs w:val="16"/>
                <w:shd w:val="pct70" w:color="FFFFFF" w:fill="auto"/>
              </w:rPr>
              <w:t>）</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コア業務純益</w:t>
            </w:r>
            <w:r w:rsidRPr="009415A1">
              <w:rPr>
                <w:rFonts w:ascii="Times New Roman" w:hAnsi="Times New Roman"/>
                <w:color w:val="000000"/>
                <w:kern w:val="0"/>
                <w:sz w:val="16"/>
                <w:szCs w:val="16"/>
                <w:shd w:val="pct70" w:color="FFFFFF" w:fill="auto"/>
              </w:rPr>
              <w:t>ROA</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（＝コア業務純益／総資産）</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1008"/>
        </w:trPr>
        <w:tc>
          <w:tcPr>
            <w:tcW w:w="531"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業務粗利益経費率</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（＝（経費－機械化関連費用）／業　務粗利益）</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val="restart"/>
            <w:tcBorders>
              <w:top w:val="double" w:sz="4" w:space="0" w:color="000000"/>
              <w:left w:val="single" w:sz="4" w:space="0" w:color="000000"/>
              <w:bottom w:val="nil"/>
              <w:right w:val="single" w:sz="4" w:space="0" w:color="000000"/>
            </w:tcBorders>
            <w:textDirection w:val="tbRlV"/>
          </w:tcPr>
          <w:p w:rsidR="00392825" w:rsidRPr="009415A1" w:rsidRDefault="00882953" w:rsidP="00882953">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sidRPr="009415A1">
              <w:rPr>
                <w:rFonts w:ascii="ＭＳ 明朝" w:hint="eastAsia"/>
                <w:kern w:val="0"/>
                <w:sz w:val="16"/>
                <w:szCs w:val="16"/>
              </w:rPr>
              <w:t>不良債権関連指標</w:t>
            </w:r>
          </w:p>
        </w:tc>
        <w:tc>
          <w:tcPr>
            <w:tcW w:w="2764" w:type="dxa"/>
            <w:gridSpan w:val="5"/>
            <w:tcBorders>
              <w:top w:val="doub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金融再生法開示債権残高</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破産更生等債権額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危険債権額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sing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要管理債権額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正常債権額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総与信</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（＝金融再生法開示債権残高＋正常</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 xml:space="preserve">　債権額）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不良債権比率</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（＝金融再生法開示債権残高／総与</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 xml:space="preserve">　信）</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リスク管理債権残高</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392825" w:rsidRPr="009415A1" w:rsidRDefault="00075324"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075324">
              <w:rPr>
                <w:rFonts w:ascii="Times New Roman" w:hAnsi="Times New Roman" w:cs="ＭＳ 明朝" w:hint="eastAsia"/>
                <w:color w:val="000000"/>
                <w:kern w:val="0"/>
                <w:sz w:val="16"/>
                <w:szCs w:val="16"/>
                <w:shd w:val="pct70" w:color="FFFFFF" w:fill="auto"/>
              </w:rPr>
              <w:t>破産更生等債権額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うち部分直接償却</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2825" w:rsidRPr="009415A1" w:rsidRDefault="00075324"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075324">
              <w:rPr>
                <w:rFonts w:ascii="Times New Roman" w:hAnsi="Times New Roman" w:cs="ＭＳ 明朝" w:hint="eastAsia"/>
                <w:color w:val="000000"/>
                <w:kern w:val="0"/>
                <w:sz w:val="16"/>
                <w:szCs w:val="16"/>
                <w:shd w:val="pct70" w:color="FFFFFF" w:fill="auto"/>
              </w:rPr>
              <w:t>危険債権額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2825" w:rsidRPr="009415A1" w:rsidRDefault="00075324"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075324">
              <w:rPr>
                <w:rFonts w:ascii="Times New Roman" w:hAnsi="Times New Roman" w:cs="ＭＳ 明朝" w:hint="eastAsia"/>
                <w:color w:val="000000"/>
                <w:kern w:val="0"/>
                <w:sz w:val="16"/>
                <w:szCs w:val="16"/>
                <w:shd w:val="pct70" w:color="FFFFFF" w:fill="auto"/>
              </w:rPr>
              <w:t>三月以上延滞債権額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sing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sing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貸出条件緩和債権額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bl>
    <w:p w:rsidR="00B663EC" w:rsidRDefault="00B663EC" w:rsidP="00392825">
      <w:pPr>
        <w:overflowPunct w:val="0"/>
        <w:adjustRightInd w:val="0"/>
        <w:textAlignment w:val="baseline"/>
        <w:rPr>
          <w:rFonts w:ascii="ＭＳ 明朝" w:hint="eastAsia"/>
          <w:color w:val="000000"/>
          <w:spacing w:val="2"/>
          <w:kern w:val="0"/>
          <w:szCs w:val="21"/>
        </w:rPr>
      </w:pPr>
    </w:p>
    <w:p w:rsidR="00B663EC" w:rsidRDefault="00B663EC" w:rsidP="00392825">
      <w:pPr>
        <w:overflowPunct w:val="0"/>
        <w:adjustRightInd w:val="0"/>
        <w:textAlignment w:val="baseline"/>
        <w:rPr>
          <w:rFonts w:ascii="ＭＳ 明朝" w:hint="eastAsia"/>
          <w:color w:val="000000"/>
          <w:spacing w:val="2"/>
          <w:kern w:val="0"/>
          <w:szCs w:val="21"/>
        </w:rPr>
      </w:pPr>
    </w:p>
    <w:p w:rsidR="00B663EC" w:rsidRDefault="00B663EC" w:rsidP="00392825">
      <w:pPr>
        <w:overflowPunct w:val="0"/>
        <w:adjustRightInd w:val="0"/>
        <w:textAlignment w:val="baseline"/>
        <w:rPr>
          <w:rFonts w:ascii="ＭＳ 明朝" w:hint="eastAsia"/>
          <w:color w:val="000000"/>
          <w:spacing w:val="2"/>
          <w:kern w:val="0"/>
          <w:szCs w:val="21"/>
        </w:rPr>
      </w:pPr>
    </w:p>
    <w:p w:rsidR="00B663EC" w:rsidRDefault="00B663EC" w:rsidP="00392825">
      <w:pPr>
        <w:overflowPunct w:val="0"/>
        <w:adjustRightInd w:val="0"/>
        <w:textAlignment w:val="baseline"/>
        <w:rPr>
          <w:rFonts w:ascii="ＭＳ 明朝"/>
          <w:color w:val="000000"/>
          <w:spacing w:val="2"/>
          <w:kern w:val="0"/>
          <w:szCs w:val="21"/>
        </w:rPr>
        <w:sectPr w:rsidR="00B663EC" w:rsidSect="00392825">
          <w:headerReference w:type="even" r:id="rId7"/>
          <w:headerReference w:type="default" r:id="rId8"/>
          <w:footerReference w:type="even" r:id="rId9"/>
          <w:footerReference w:type="default" r:id="rId10"/>
          <w:headerReference w:type="first" r:id="rId11"/>
          <w:footerReference w:type="first" r:id="rId12"/>
          <w:pgSz w:w="11906" w:h="16838"/>
          <w:pgMar w:top="1700" w:right="850" w:bottom="1700" w:left="850" w:header="720" w:footer="720" w:gutter="0"/>
          <w:pgNumType w:start="1"/>
          <w:cols w:space="720"/>
          <w:noEndnote/>
          <w:docGrid w:type="linesAndChars" w:linePitch="335" w:charSpace="409"/>
        </w:sectPr>
      </w:pPr>
    </w:p>
    <w:p w:rsidR="00392825" w:rsidRPr="009415A1" w:rsidRDefault="00392825" w:rsidP="00392825">
      <w:pPr>
        <w:overflowPunct w:val="0"/>
        <w:adjustRightInd w:val="0"/>
        <w:textAlignment w:val="baseline"/>
        <w:rPr>
          <w:rFonts w:ascii="ＭＳ 明朝"/>
          <w:color w:val="000000"/>
          <w:spacing w:val="2"/>
          <w:kern w:val="0"/>
          <w:szCs w:val="21"/>
        </w:rPr>
      </w:pPr>
      <w:r w:rsidRPr="009415A1">
        <w:rPr>
          <w:rFonts w:ascii="Times New Roman" w:hAnsi="Times New Roman" w:cs="ＭＳ 明朝" w:hint="eastAsia"/>
          <w:color w:val="000000"/>
          <w:kern w:val="0"/>
          <w:szCs w:val="21"/>
          <w:shd w:val="pct70" w:color="FFFFFF" w:fill="auto"/>
        </w:rPr>
        <w:lastRenderedPageBreak/>
        <w:t>（銀行持株会社等－単体）</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1"/>
        <w:gridCol w:w="319"/>
        <w:gridCol w:w="319"/>
        <w:gridCol w:w="319"/>
        <w:gridCol w:w="319"/>
        <w:gridCol w:w="1488"/>
        <w:gridCol w:w="744"/>
        <w:gridCol w:w="744"/>
        <w:gridCol w:w="850"/>
        <w:gridCol w:w="744"/>
        <w:gridCol w:w="744"/>
        <w:gridCol w:w="744"/>
        <w:gridCol w:w="744"/>
        <w:gridCol w:w="744"/>
        <w:gridCol w:w="744"/>
      </w:tblGrid>
      <w:tr w:rsidR="00392825" w:rsidRPr="009415A1" w:rsidTr="003A06E5">
        <w:tblPrEx>
          <w:tblCellMar>
            <w:top w:w="0" w:type="dxa"/>
            <w:bottom w:w="0" w:type="dxa"/>
          </w:tblCellMar>
        </w:tblPrEx>
        <w:trPr>
          <w:trHeight w:val="1008"/>
        </w:trPr>
        <w:tc>
          <w:tcPr>
            <w:tcW w:w="3295" w:type="dxa"/>
            <w:gridSpan w:val="6"/>
            <w:tcBorders>
              <w:top w:val="single" w:sz="4" w:space="0" w:color="000000"/>
              <w:left w:val="single" w:sz="4" w:space="0" w:color="000000"/>
              <w:bottom w:val="single" w:sz="4" w:space="0" w:color="000000"/>
              <w:right w:val="single" w:sz="4" w:space="0" w:color="000000"/>
              <w:tl2br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実績</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実績</w:t>
            </w: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実績／実</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績見込み</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r>
      <w:tr w:rsidR="00392825" w:rsidRPr="009415A1">
        <w:tblPrEx>
          <w:tblCellMar>
            <w:top w:w="0" w:type="dxa"/>
            <w:bottom w:w="0" w:type="dxa"/>
          </w:tblCellMar>
        </w:tblPrEx>
        <w:trPr>
          <w:trHeight w:val="336"/>
        </w:trPr>
        <w:tc>
          <w:tcPr>
            <w:tcW w:w="531" w:type="dxa"/>
            <w:vMerge w:val="restart"/>
            <w:tcBorders>
              <w:top w:val="single" w:sz="4" w:space="0" w:color="000000"/>
              <w:left w:val="single" w:sz="4" w:space="0" w:color="000000"/>
              <w:bottom w:val="nil"/>
              <w:right w:val="single" w:sz="4" w:space="0" w:color="000000"/>
            </w:tcBorders>
            <w:textDirection w:val="tbRlV"/>
          </w:tcPr>
          <w:p w:rsidR="00392825" w:rsidRPr="009415A1" w:rsidRDefault="003C5B79" w:rsidP="00882953">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Pr>
                <w:rFonts w:ascii="ＭＳ 明朝" w:hint="eastAsia"/>
                <w:kern w:val="0"/>
                <w:sz w:val="16"/>
                <w:szCs w:val="16"/>
              </w:rPr>
              <w:t>資産・負債・純資産の部</w:t>
            </w:r>
            <w:r w:rsidR="00882953" w:rsidRPr="009415A1">
              <w:rPr>
                <w:rFonts w:ascii="ＭＳ 明朝" w:hint="eastAsia"/>
                <w:kern w:val="0"/>
                <w:sz w:val="16"/>
                <w:szCs w:val="16"/>
              </w:rPr>
              <w:t>(平均残高)</w:t>
            </w:r>
          </w:p>
        </w:tc>
        <w:tc>
          <w:tcPr>
            <w:tcW w:w="2764" w:type="dxa"/>
            <w:gridSpan w:val="5"/>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資産の部合計</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tcBorders>
              <w:top w:val="nil"/>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うち貸出金</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負債の部合計</w:t>
            </w: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rPr>
              <w:t>純資産</w:t>
            </w:r>
            <w:r w:rsidRPr="009415A1">
              <w:rPr>
                <w:rFonts w:ascii="Times New Roman" w:hAnsi="Times New Roman" w:cs="ＭＳ 明朝" w:hint="eastAsia"/>
                <w:color w:val="000000"/>
                <w:kern w:val="0"/>
                <w:sz w:val="16"/>
                <w:szCs w:val="16"/>
                <w:shd w:val="pct70" w:color="FFFFFF" w:fill="auto"/>
              </w:rPr>
              <w:t>の部合計</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うち資本金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うち資本剰余金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うち資本準備金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うち利益剰余金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うち利益準備金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うち土地再評価差額金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w:t>
            </w:r>
            <w:r w:rsidRPr="009415A1">
              <w:rPr>
                <w:rFonts w:ascii="Times New Roman" w:hAnsi="Times New Roman" w:cs="ＭＳ 明朝" w:hint="eastAsia"/>
                <w:color w:val="000000"/>
                <w:kern w:val="0"/>
                <w:sz w:val="16"/>
                <w:szCs w:val="16"/>
              </w:rPr>
              <w:t>その他有価証券評価差額金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うち自己株式</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val="restart"/>
            <w:tcBorders>
              <w:top w:val="double" w:sz="4" w:space="0" w:color="000000"/>
              <w:left w:val="single" w:sz="4" w:space="0" w:color="000000"/>
              <w:bottom w:val="nil"/>
              <w:right w:val="single" w:sz="4" w:space="0" w:color="000000"/>
            </w:tcBorders>
            <w:textDirection w:val="tbRlV"/>
          </w:tcPr>
          <w:p w:rsidR="00392825" w:rsidRPr="009415A1" w:rsidRDefault="00882953" w:rsidP="00882953">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sidRPr="009415A1">
              <w:rPr>
                <w:rFonts w:ascii="ＭＳ 明朝" w:hint="eastAsia"/>
                <w:kern w:val="0"/>
                <w:sz w:val="16"/>
                <w:szCs w:val="16"/>
              </w:rPr>
              <w:t>損益</w:t>
            </w:r>
          </w:p>
        </w:tc>
        <w:tc>
          <w:tcPr>
            <w:tcW w:w="2764" w:type="dxa"/>
            <w:gridSpan w:val="5"/>
            <w:tcBorders>
              <w:top w:val="doub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経常利益</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経常収益</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うち関係会社受取配当金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経常費用</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うち経費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うち人件費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1807" w:type="dxa"/>
            <w:gridSpan w:val="2"/>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うち物件費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tcBorders>
              <w:top w:val="nil"/>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488"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うち機械化関連費</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用</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税引前当期（中間）純利益</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法人税、住民税及び事業税</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法人税等調整額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当期（中間）純利益</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1008"/>
        </w:trPr>
        <w:tc>
          <w:tcPr>
            <w:tcW w:w="531" w:type="dxa"/>
            <w:vMerge w:val="restart"/>
            <w:tcBorders>
              <w:top w:val="double" w:sz="4" w:space="0" w:color="000000"/>
              <w:left w:val="single" w:sz="4" w:space="0" w:color="000000"/>
              <w:bottom w:val="nil"/>
              <w:right w:val="single" w:sz="4" w:space="0" w:color="000000"/>
            </w:tcBorders>
            <w:textDirection w:val="tbRlV"/>
          </w:tcPr>
          <w:p w:rsidR="00392825" w:rsidRPr="009415A1" w:rsidRDefault="00882953" w:rsidP="00882953">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sidRPr="009415A1">
              <w:rPr>
                <w:rFonts w:ascii="ＭＳ 明朝" w:hint="eastAsia"/>
                <w:kern w:val="0"/>
                <w:sz w:val="16"/>
                <w:szCs w:val="16"/>
              </w:rPr>
              <w:t>経営指標(％)</w:t>
            </w:r>
          </w:p>
        </w:tc>
        <w:tc>
          <w:tcPr>
            <w:tcW w:w="2764" w:type="dxa"/>
            <w:gridSpan w:val="5"/>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当期利益</w:t>
            </w:r>
            <w:r w:rsidRPr="009415A1">
              <w:rPr>
                <w:rFonts w:ascii="Times New Roman" w:hAnsi="Times New Roman"/>
                <w:color w:val="000000"/>
                <w:kern w:val="0"/>
                <w:sz w:val="16"/>
                <w:szCs w:val="16"/>
                <w:shd w:val="pct70" w:color="FFFFFF" w:fill="auto"/>
              </w:rPr>
              <w:t>ROE</w:t>
            </w:r>
          </w:p>
          <w:p w:rsidR="00392825" w:rsidRPr="009415A1" w:rsidRDefault="007C72AA"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Times New Roman" w:hAnsi="Times New Roman" w:cs="ＭＳ 明朝" w:hint="eastAsia"/>
                <w:color w:val="000000"/>
                <w:kern w:val="0"/>
                <w:sz w:val="16"/>
                <w:szCs w:val="16"/>
                <w:shd w:val="pct70" w:color="FFFFFF" w:fill="auto"/>
              </w:rPr>
              <w:t>（＝</w:t>
            </w:r>
            <w:r w:rsidR="00392825" w:rsidRPr="009415A1">
              <w:rPr>
                <w:rFonts w:ascii="Times New Roman" w:hAnsi="Times New Roman" w:cs="ＭＳ 明朝" w:hint="eastAsia"/>
                <w:color w:val="000000"/>
                <w:kern w:val="0"/>
                <w:sz w:val="16"/>
                <w:szCs w:val="16"/>
                <w:shd w:val="pct70" w:color="FFFFFF" w:fill="auto"/>
              </w:rPr>
              <w:t>当期（中間）純利益／</w:t>
            </w:r>
            <w:r w:rsidR="00392825" w:rsidRPr="009415A1">
              <w:rPr>
                <w:rFonts w:ascii="Times New Roman" w:hAnsi="Times New Roman" w:cs="ＭＳ 明朝" w:hint="eastAsia"/>
                <w:color w:val="000000"/>
                <w:kern w:val="0"/>
                <w:sz w:val="16"/>
                <w:szCs w:val="16"/>
              </w:rPr>
              <w:t>純資産</w:t>
            </w:r>
            <w:r w:rsidR="00392825" w:rsidRPr="009415A1">
              <w:rPr>
                <w:rFonts w:ascii="Times New Roman" w:hAnsi="Times New Roman" w:cs="ＭＳ 明朝" w:hint="eastAsia"/>
                <w:color w:val="000000"/>
                <w:kern w:val="0"/>
                <w:sz w:val="16"/>
                <w:szCs w:val="16"/>
                <w:shd w:val="pct70" w:color="FFFFFF" w:fill="auto"/>
              </w:rPr>
              <w:t>）</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1008"/>
        </w:trPr>
        <w:tc>
          <w:tcPr>
            <w:tcW w:w="531" w:type="dxa"/>
            <w:vMerge/>
            <w:tcBorders>
              <w:top w:val="nil"/>
              <w:left w:val="single" w:sz="4" w:space="0" w:color="000000"/>
              <w:bottom w:val="sing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当期利益</w:t>
            </w:r>
            <w:r w:rsidRPr="009415A1">
              <w:rPr>
                <w:rFonts w:ascii="Times New Roman" w:hAnsi="Times New Roman"/>
                <w:color w:val="000000"/>
                <w:kern w:val="0"/>
                <w:sz w:val="16"/>
                <w:szCs w:val="16"/>
                <w:shd w:val="pct70" w:color="FFFFFF" w:fill="auto"/>
              </w:rPr>
              <w:t>ROA</w:t>
            </w:r>
          </w:p>
          <w:p w:rsidR="00392825" w:rsidRPr="007C72AA" w:rsidRDefault="007C72AA"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Pr>
                <w:rFonts w:ascii="Times New Roman" w:hAnsi="Times New Roman" w:cs="ＭＳ 明朝" w:hint="eastAsia"/>
                <w:color w:val="000000"/>
                <w:kern w:val="0"/>
                <w:sz w:val="16"/>
                <w:szCs w:val="16"/>
                <w:shd w:val="pct70" w:color="FFFFFF" w:fill="auto"/>
              </w:rPr>
              <w:t>（＝</w:t>
            </w:r>
            <w:r w:rsidR="00392825" w:rsidRPr="009415A1">
              <w:rPr>
                <w:rFonts w:ascii="Times New Roman" w:hAnsi="Times New Roman" w:cs="ＭＳ 明朝" w:hint="eastAsia"/>
                <w:color w:val="000000"/>
                <w:kern w:val="0"/>
                <w:sz w:val="16"/>
                <w:szCs w:val="16"/>
                <w:shd w:val="pct70" w:color="FFFFFF" w:fill="auto"/>
              </w:rPr>
              <w:t>当期（中間）純利益／総資産）</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bl>
    <w:p w:rsidR="000C731E" w:rsidRDefault="000C731E" w:rsidP="00392825">
      <w:pPr>
        <w:overflowPunct w:val="0"/>
        <w:adjustRightInd w:val="0"/>
        <w:textAlignment w:val="baseline"/>
        <w:rPr>
          <w:rFonts w:ascii="ＭＳ 明朝" w:hint="eastAsia"/>
          <w:color w:val="000000"/>
          <w:spacing w:val="2"/>
          <w:kern w:val="0"/>
          <w:szCs w:val="21"/>
        </w:rPr>
      </w:pPr>
    </w:p>
    <w:p w:rsidR="00B663EC" w:rsidRDefault="00B663EC" w:rsidP="00392825">
      <w:pPr>
        <w:overflowPunct w:val="0"/>
        <w:adjustRightInd w:val="0"/>
        <w:textAlignment w:val="baseline"/>
        <w:rPr>
          <w:rFonts w:ascii="ＭＳ 明朝"/>
          <w:color w:val="000000"/>
          <w:spacing w:val="2"/>
          <w:kern w:val="0"/>
          <w:szCs w:val="21"/>
        </w:rPr>
        <w:sectPr w:rsidR="00B663EC" w:rsidSect="00392825">
          <w:pgSz w:w="11906" w:h="16838"/>
          <w:pgMar w:top="1700" w:right="850" w:bottom="1700" w:left="850" w:header="720" w:footer="720" w:gutter="0"/>
          <w:pgNumType w:start="1"/>
          <w:cols w:space="720"/>
          <w:noEndnote/>
          <w:docGrid w:type="linesAndChars" w:linePitch="335" w:charSpace="409"/>
        </w:sectPr>
      </w:pPr>
    </w:p>
    <w:p w:rsidR="00392825" w:rsidRPr="009415A1" w:rsidRDefault="00392825" w:rsidP="00392825">
      <w:pPr>
        <w:overflowPunct w:val="0"/>
        <w:adjustRightInd w:val="0"/>
        <w:textAlignment w:val="baseline"/>
        <w:rPr>
          <w:rFonts w:ascii="ＭＳ 明朝"/>
          <w:color w:val="000000"/>
          <w:spacing w:val="2"/>
          <w:kern w:val="0"/>
          <w:szCs w:val="21"/>
        </w:rPr>
      </w:pPr>
      <w:r w:rsidRPr="009415A1">
        <w:rPr>
          <w:rFonts w:ascii="Times New Roman" w:hAnsi="Times New Roman" w:cs="ＭＳ 明朝" w:hint="eastAsia"/>
          <w:color w:val="000000"/>
          <w:kern w:val="0"/>
          <w:szCs w:val="21"/>
          <w:shd w:val="pct70" w:color="FFFFFF" w:fill="auto"/>
        </w:rPr>
        <w:lastRenderedPageBreak/>
        <w:t>（連結）</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1"/>
        <w:gridCol w:w="319"/>
        <w:gridCol w:w="319"/>
        <w:gridCol w:w="319"/>
        <w:gridCol w:w="319"/>
        <w:gridCol w:w="1488"/>
        <w:gridCol w:w="744"/>
        <w:gridCol w:w="744"/>
        <w:gridCol w:w="850"/>
        <w:gridCol w:w="744"/>
        <w:gridCol w:w="744"/>
        <w:gridCol w:w="744"/>
        <w:gridCol w:w="744"/>
        <w:gridCol w:w="744"/>
        <w:gridCol w:w="744"/>
      </w:tblGrid>
      <w:tr w:rsidR="00392825" w:rsidRPr="009415A1" w:rsidTr="003A06E5">
        <w:tblPrEx>
          <w:tblCellMar>
            <w:top w:w="0" w:type="dxa"/>
            <w:bottom w:w="0" w:type="dxa"/>
          </w:tblCellMar>
        </w:tblPrEx>
        <w:trPr>
          <w:trHeight w:val="1008"/>
        </w:trPr>
        <w:tc>
          <w:tcPr>
            <w:tcW w:w="3295" w:type="dxa"/>
            <w:gridSpan w:val="6"/>
            <w:tcBorders>
              <w:top w:val="single" w:sz="4" w:space="0" w:color="000000"/>
              <w:left w:val="single" w:sz="4" w:space="0" w:color="000000"/>
              <w:bottom w:val="single" w:sz="4" w:space="0" w:color="000000"/>
              <w:right w:val="single" w:sz="4" w:space="0" w:color="000000"/>
              <w:tl2br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実績</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実績</w:t>
            </w: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実績／実</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績見込み</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r>
      <w:tr w:rsidR="00392825" w:rsidRPr="009415A1">
        <w:tblPrEx>
          <w:tblCellMar>
            <w:top w:w="0" w:type="dxa"/>
            <w:bottom w:w="0" w:type="dxa"/>
          </w:tblCellMar>
        </w:tblPrEx>
        <w:trPr>
          <w:trHeight w:val="336"/>
        </w:trPr>
        <w:tc>
          <w:tcPr>
            <w:tcW w:w="531" w:type="dxa"/>
            <w:vMerge w:val="restart"/>
            <w:tcBorders>
              <w:top w:val="single" w:sz="4" w:space="0" w:color="000000"/>
              <w:left w:val="single" w:sz="4" w:space="0" w:color="000000"/>
              <w:bottom w:val="nil"/>
              <w:right w:val="single" w:sz="4" w:space="0" w:color="000000"/>
            </w:tcBorders>
            <w:textDirection w:val="tbRlV"/>
          </w:tcPr>
          <w:p w:rsidR="00392825" w:rsidRPr="009415A1" w:rsidRDefault="00142305" w:rsidP="00882953">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Pr>
                <w:rFonts w:ascii="ＭＳ 明朝" w:hint="eastAsia"/>
                <w:kern w:val="0"/>
                <w:sz w:val="16"/>
                <w:szCs w:val="16"/>
              </w:rPr>
              <w:t>資産・負債・純資産の部</w:t>
            </w:r>
            <w:r w:rsidR="00882953" w:rsidRPr="009415A1">
              <w:rPr>
                <w:rFonts w:ascii="ＭＳ 明朝" w:hint="eastAsia"/>
                <w:kern w:val="0"/>
                <w:sz w:val="16"/>
                <w:szCs w:val="16"/>
              </w:rPr>
              <w:t>(平均残高)</w:t>
            </w:r>
          </w:p>
        </w:tc>
        <w:tc>
          <w:tcPr>
            <w:tcW w:w="2764" w:type="dxa"/>
            <w:gridSpan w:val="5"/>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資産の部合計</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tcBorders>
              <w:top w:val="nil"/>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うち貸出金</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負債の部合計</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うち預金・譲渡性預金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うち債券</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rPr>
              <w:t>純資産</w:t>
            </w:r>
            <w:r w:rsidRPr="009415A1">
              <w:rPr>
                <w:rFonts w:ascii="Times New Roman" w:hAnsi="Times New Roman" w:cs="ＭＳ 明朝" w:hint="eastAsia"/>
                <w:color w:val="000000"/>
                <w:kern w:val="0"/>
                <w:sz w:val="16"/>
                <w:szCs w:val="16"/>
                <w:shd w:val="pct70" w:color="FFFFFF" w:fill="auto"/>
              </w:rPr>
              <w:t>の部合計</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うち資本金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うち資本剰余金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うち資本準備金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うち利益剰余金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うち利益準備金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うち土地再評価差額金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w:t>
            </w:r>
            <w:r w:rsidRPr="009415A1">
              <w:rPr>
                <w:rFonts w:ascii="Times New Roman" w:hAnsi="Times New Roman" w:cs="ＭＳ 明朝" w:hint="eastAsia"/>
                <w:color w:val="000000"/>
                <w:kern w:val="0"/>
                <w:sz w:val="16"/>
                <w:szCs w:val="16"/>
              </w:rPr>
              <w:t>その他有価証券評価差額金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うち自己株式</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val="restart"/>
            <w:tcBorders>
              <w:top w:val="double" w:sz="4" w:space="0" w:color="000000"/>
              <w:left w:val="single" w:sz="4" w:space="0" w:color="000000"/>
              <w:bottom w:val="nil"/>
              <w:right w:val="single" w:sz="4" w:space="0" w:color="000000"/>
            </w:tcBorders>
            <w:textDirection w:val="tbRlV"/>
          </w:tcPr>
          <w:p w:rsidR="00392825" w:rsidRPr="009415A1" w:rsidRDefault="00882953" w:rsidP="00882953">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sidRPr="009415A1">
              <w:rPr>
                <w:rFonts w:ascii="ＭＳ 明朝" w:hint="eastAsia"/>
                <w:kern w:val="0"/>
                <w:sz w:val="16"/>
                <w:szCs w:val="16"/>
              </w:rPr>
              <w:t>損益</w:t>
            </w:r>
          </w:p>
        </w:tc>
        <w:tc>
          <w:tcPr>
            <w:tcW w:w="2764" w:type="dxa"/>
            <w:gridSpan w:val="5"/>
            <w:tcBorders>
              <w:top w:val="doub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経常利益</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経常収益</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資金運用収益</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役務取引等収益</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特定取引収益</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その他業務収益</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その他経常収益</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doub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経常費用</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資金調達費用</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役務取引等費用</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特定取引費用</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その他業務費用</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営業経費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その他経常費用</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うち貸出金償却</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1807" w:type="dxa"/>
            <w:gridSpan w:val="2"/>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うち貸倒引当金繰入額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488"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うち一般貸倒引当</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金繰入額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1488"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うち個別貸倒引当</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金繰入額</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特別利益</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特別損失</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法人税、住民税及び事業税</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法人税等調整額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92825" w:rsidRPr="009415A1" w:rsidRDefault="00452C74"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452C74">
              <w:rPr>
                <w:rFonts w:ascii="Times New Roman" w:hAnsi="Times New Roman" w:cs="ＭＳ 明朝" w:hint="eastAsia"/>
                <w:color w:val="000000"/>
                <w:kern w:val="0"/>
                <w:sz w:val="16"/>
                <w:szCs w:val="16"/>
                <w:shd w:val="pct70" w:color="FFFFFF" w:fill="auto"/>
              </w:rPr>
              <w:t>非支配株主に帰属する当期（中間）</w:t>
            </w:r>
            <w:r>
              <w:rPr>
                <w:rFonts w:ascii="Times New Roman" w:hAnsi="Times New Roman" w:cs="ＭＳ 明朝" w:hint="eastAsia"/>
                <w:color w:val="000000"/>
                <w:kern w:val="0"/>
                <w:sz w:val="16"/>
                <w:szCs w:val="16"/>
                <w:shd w:val="pct70" w:color="FFFFFF" w:fill="auto"/>
              </w:rPr>
              <w:t>純</w:t>
            </w:r>
            <w:r w:rsidR="00392825" w:rsidRPr="009415A1">
              <w:rPr>
                <w:rFonts w:ascii="Times New Roman" w:hAnsi="Times New Roman" w:cs="ＭＳ 明朝" w:hint="eastAsia"/>
                <w:color w:val="000000"/>
                <w:kern w:val="0"/>
                <w:sz w:val="16"/>
                <w:szCs w:val="16"/>
                <w:shd w:val="pct70" w:color="FFFFFF" w:fill="auto"/>
              </w:rPr>
              <w:t>利益</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double" w:sz="4" w:space="0" w:color="000000"/>
              <w:right w:val="single" w:sz="4" w:space="0" w:color="000000"/>
            </w:tcBorders>
          </w:tcPr>
          <w:p w:rsidR="00392825" w:rsidRPr="009415A1" w:rsidRDefault="000B4C1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0B4C1F">
              <w:rPr>
                <w:rFonts w:ascii="Times New Roman" w:hAnsi="Times New Roman" w:cs="ＭＳ 明朝" w:hint="eastAsia"/>
                <w:color w:val="000000"/>
                <w:kern w:val="0"/>
                <w:sz w:val="16"/>
                <w:szCs w:val="16"/>
                <w:shd w:val="pct70" w:color="FFFFFF" w:fill="auto"/>
              </w:rPr>
              <w:t>親会社株主に帰属する当期（中間）</w:t>
            </w:r>
            <w:r w:rsidR="00392825" w:rsidRPr="009415A1">
              <w:rPr>
                <w:rFonts w:ascii="Times New Roman" w:hAnsi="Times New Roman" w:cs="ＭＳ 明朝" w:hint="eastAsia"/>
                <w:color w:val="000000"/>
                <w:kern w:val="0"/>
                <w:sz w:val="16"/>
                <w:szCs w:val="16"/>
                <w:shd w:val="pct70" w:color="FFFFFF" w:fill="auto"/>
              </w:rPr>
              <w:t>純利益</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1008"/>
        </w:trPr>
        <w:tc>
          <w:tcPr>
            <w:tcW w:w="531" w:type="dxa"/>
            <w:vMerge w:val="restart"/>
            <w:tcBorders>
              <w:top w:val="double" w:sz="4" w:space="0" w:color="000000"/>
              <w:left w:val="single" w:sz="4" w:space="0" w:color="000000"/>
              <w:bottom w:val="nil"/>
              <w:right w:val="single" w:sz="4" w:space="0" w:color="000000"/>
            </w:tcBorders>
            <w:textDirection w:val="tbRlV"/>
          </w:tcPr>
          <w:p w:rsidR="00392825" w:rsidRPr="009415A1" w:rsidRDefault="00882953" w:rsidP="00882953">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sidRPr="009415A1">
              <w:rPr>
                <w:rFonts w:ascii="ＭＳ 明朝" w:hint="eastAsia"/>
                <w:kern w:val="0"/>
                <w:sz w:val="16"/>
                <w:szCs w:val="16"/>
              </w:rPr>
              <w:t>経営指標(％)</w:t>
            </w:r>
          </w:p>
        </w:tc>
        <w:tc>
          <w:tcPr>
            <w:tcW w:w="2764" w:type="dxa"/>
            <w:gridSpan w:val="5"/>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当期利益</w:t>
            </w:r>
            <w:r w:rsidRPr="009415A1">
              <w:rPr>
                <w:rFonts w:ascii="Times New Roman" w:hAnsi="Times New Roman"/>
                <w:color w:val="000000"/>
                <w:kern w:val="0"/>
                <w:sz w:val="16"/>
                <w:szCs w:val="16"/>
                <w:shd w:val="pct70" w:color="FFFFFF" w:fill="auto"/>
              </w:rPr>
              <w:t>ROE</w:t>
            </w:r>
          </w:p>
          <w:p w:rsidR="00392825" w:rsidRPr="009415A1" w:rsidRDefault="000B4C1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Times New Roman" w:hAnsi="Times New Roman" w:cs="ＭＳ 明朝" w:hint="eastAsia"/>
                <w:color w:val="000000"/>
                <w:kern w:val="0"/>
                <w:sz w:val="16"/>
                <w:szCs w:val="16"/>
                <w:shd w:val="pct70" w:color="FFFFFF" w:fill="auto"/>
              </w:rPr>
              <w:t>（＝</w:t>
            </w:r>
            <w:r w:rsidRPr="000B4C1F">
              <w:rPr>
                <w:rFonts w:ascii="Times New Roman" w:hAnsi="Times New Roman" w:cs="ＭＳ 明朝" w:hint="eastAsia"/>
                <w:color w:val="000000"/>
                <w:kern w:val="0"/>
                <w:sz w:val="16"/>
                <w:szCs w:val="16"/>
                <w:shd w:val="pct70" w:color="FFFFFF" w:fill="auto"/>
              </w:rPr>
              <w:t>親会社株主に帰属する当期（中間）</w:t>
            </w:r>
            <w:r w:rsidR="00392825" w:rsidRPr="009415A1">
              <w:rPr>
                <w:rFonts w:ascii="Times New Roman" w:hAnsi="Times New Roman" w:cs="ＭＳ 明朝" w:hint="eastAsia"/>
                <w:color w:val="000000"/>
                <w:kern w:val="0"/>
                <w:sz w:val="16"/>
                <w:szCs w:val="16"/>
                <w:shd w:val="pct70" w:color="FFFFFF" w:fill="auto"/>
              </w:rPr>
              <w:t>純利益／</w:t>
            </w:r>
            <w:r w:rsidR="00392825" w:rsidRPr="009415A1">
              <w:rPr>
                <w:rFonts w:ascii="Times New Roman" w:hAnsi="Times New Roman" w:cs="ＭＳ 明朝" w:hint="eastAsia"/>
                <w:color w:val="000000"/>
                <w:kern w:val="0"/>
                <w:sz w:val="16"/>
                <w:szCs w:val="16"/>
              </w:rPr>
              <w:t>純資産</w:t>
            </w:r>
            <w:r w:rsidR="00392825" w:rsidRPr="009415A1">
              <w:rPr>
                <w:rFonts w:ascii="Times New Roman" w:hAnsi="Times New Roman" w:cs="ＭＳ 明朝" w:hint="eastAsia"/>
                <w:color w:val="000000"/>
                <w:kern w:val="0"/>
                <w:sz w:val="16"/>
                <w:szCs w:val="16"/>
                <w:shd w:val="pct70" w:color="FFFFFF" w:fill="auto"/>
              </w:rPr>
              <w:t>）</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1008"/>
        </w:trPr>
        <w:tc>
          <w:tcPr>
            <w:tcW w:w="531" w:type="dxa"/>
            <w:vMerge/>
            <w:tcBorders>
              <w:top w:val="nil"/>
              <w:left w:val="single" w:sz="4" w:space="0" w:color="000000"/>
              <w:bottom w:val="sing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当期利益</w:t>
            </w:r>
            <w:r w:rsidRPr="009415A1">
              <w:rPr>
                <w:rFonts w:ascii="Times New Roman" w:hAnsi="Times New Roman"/>
                <w:color w:val="000000"/>
                <w:kern w:val="0"/>
                <w:sz w:val="16"/>
                <w:szCs w:val="16"/>
                <w:shd w:val="pct70" w:color="FFFFFF" w:fill="auto"/>
              </w:rPr>
              <w:t>ROA</w:t>
            </w:r>
          </w:p>
          <w:p w:rsidR="00392825" w:rsidRPr="000B4C1F" w:rsidRDefault="000B4C1F"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Pr>
                <w:rFonts w:ascii="Times New Roman" w:hAnsi="Times New Roman" w:cs="ＭＳ 明朝" w:hint="eastAsia"/>
                <w:color w:val="000000"/>
                <w:kern w:val="0"/>
                <w:sz w:val="16"/>
                <w:szCs w:val="16"/>
                <w:shd w:val="pct70" w:color="FFFFFF" w:fill="auto"/>
              </w:rPr>
              <w:t>（＝</w:t>
            </w:r>
            <w:r w:rsidRPr="000B4C1F">
              <w:rPr>
                <w:rFonts w:ascii="Times New Roman" w:hAnsi="Times New Roman" w:cs="ＭＳ 明朝" w:hint="eastAsia"/>
                <w:color w:val="000000"/>
                <w:kern w:val="0"/>
                <w:sz w:val="16"/>
                <w:szCs w:val="16"/>
                <w:shd w:val="pct70" w:color="FFFFFF" w:fill="auto"/>
              </w:rPr>
              <w:t>親会社株主に帰属する当期（中間）</w:t>
            </w:r>
            <w:r w:rsidR="00392825" w:rsidRPr="009415A1">
              <w:rPr>
                <w:rFonts w:ascii="Times New Roman" w:hAnsi="Times New Roman" w:cs="ＭＳ 明朝" w:hint="eastAsia"/>
                <w:color w:val="000000"/>
                <w:kern w:val="0"/>
                <w:sz w:val="16"/>
                <w:szCs w:val="16"/>
                <w:shd w:val="pct70" w:color="FFFFFF" w:fill="auto"/>
              </w:rPr>
              <w:t>純利益／総資産）</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bl>
    <w:p w:rsidR="00626CBB" w:rsidRPr="009415A1" w:rsidRDefault="00626CBB" w:rsidP="00626CBB">
      <w:pPr>
        <w:overflowPunct w:val="0"/>
        <w:adjustRightInd w:val="0"/>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（記載上の注意）</w:t>
      </w:r>
    </w:p>
    <w:p w:rsidR="00626CBB" w:rsidRPr="009415A1" w:rsidRDefault="00626CBB" w:rsidP="00626CBB">
      <w:pPr>
        <w:overflowPunct w:val="0"/>
        <w:adjustRightInd w:val="0"/>
        <w:ind w:left="636" w:hangingChars="300" w:hanging="636"/>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１　上記により記載が必要とされる指標に加えて、関連する指標を記載することができる。</w:t>
      </w:r>
    </w:p>
    <w:p w:rsidR="00626CBB" w:rsidRPr="009415A1" w:rsidRDefault="00626CBB" w:rsidP="00626CBB">
      <w:pPr>
        <w:overflowPunct w:val="0"/>
        <w:adjustRightInd w:val="0"/>
        <w:ind w:leftChars="1" w:left="178" w:hangingChars="83" w:hanging="176"/>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２　過去の実績及び実績見込みについては、直前の経営強化計画又は経営計画の実施期間を遡って記載すること。</w:t>
      </w:r>
    </w:p>
    <w:p w:rsidR="00626CBB" w:rsidRPr="009415A1" w:rsidRDefault="00626CBB" w:rsidP="00626CBB">
      <w:pPr>
        <w:overflowPunct w:val="0"/>
        <w:adjustRightInd w:val="0"/>
        <w:ind w:left="424" w:hanging="422"/>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３　事業年度末（銀行等にあっては、毎年９月末及び３月末）の計数を記載すること。</w:t>
      </w:r>
    </w:p>
    <w:p w:rsidR="00626CBB" w:rsidRPr="009415A1" w:rsidRDefault="00626CBB" w:rsidP="00626CBB">
      <w:pPr>
        <w:overflowPunct w:val="0"/>
        <w:adjustRightInd w:val="0"/>
        <w:ind w:leftChars="1" w:left="178" w:hangingChars="83" w:hanging="176"/>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４　銀行持株会社等にあっては、当該銀行持株会社等の子会社である銀行等の合算ベースの指標を合わせて記載すること。</w:t>
      </w:r>
    </w:p>
    <w:p w:rsidR="00626CBB" w:rsidRPr="009415A1" w:rsidRDefault="00626CBB" w:rsidP="00626CBB">
      <w:pPr>
        <w:overflowPunct w:val="0"/>
        <w:adjustRightInd w:val="0"/>
        <w:ind w:leftChars="1" w:left="638" w:hangingChars="300" w:hanging="636"/>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５　協同組織金融機関及び協同組織中央金融機関については、適宜必要な修正を行うこと。</w:t>
      </w:r>
    </w:p>
    <w:p w:rsidR="00626CBB" w:rsidRPr="009415A1" w:rsidRDefault="00626CBB" w:rsidP="00626CBB">
      <w:pPr>
        <w:overflowPunct w:val="0"/>
        <w:adjustRightInd w:val="0"/>
        <w:ind w:left="424" w:hanging="422"/>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６　機械化関連費用については、リース等を含む実質ベースで記載すること。</w:t>
      </w:r>
    </w:p>
    <w:p w:rsidR="00B663EC" w:rsidRDefault="00B663EC" w:rsidP="00392825">
      <w:pPr>
        <w:overflowPunct w:val="0"/>
        <w:adjustRightInd w:val="0"/>
        <w:textAlignment w:val="baseline"/>
        <w:rPr>
          <w:rFonts w:ascii="ＭＳ 明朝"/>
          <w:color w:val="000000"/>
          <w:spacing w:val="2"/>
          <w:kern w:val="0"/>
          <w:szCs w:val="21"/>
        </w:rPr>
        <w:sectPr w:rsidR="00B663EC" w:rsidSect="00392825">
          <w:pgSz w:w="11906" w:h="16838"/>
          <w:pgMar w:top="1700" w:right="850" w:bottom="1700" w:left="850" w:header="720" w:footer="720" w:gutter="0"/>
          <w:pgNumType w:start="1"/>
          <w:cols w:space="720"/>
          <w:noEndnote/>
          <w:docGrid w:type="linesAndChars" w:linePitch="335" w:charSpace="409"/>
        </w:sectPr>
      </w:pPr>
    </w:p>
    <w:p w:rsidR="00392825" w:rsidRPr="009415A1" w:rsidRDefault="00392825" w:rsidP="00392825">
      <w:pPr>
        <w:overflowPunct w:val="0"/>
        <w:adjustRightInd w:val="0"/>
        <w:textAlignment w:val="baseline"/>
        <w:rPr>
          <w:rFonts w:ascii="ＭＳ 明朝"/>
          <w:color w:val="000000"/>
          <w:spacing w:val="2"/>
          <w:kern w:val="0"/>
          <w:szCs w:val="21"/>
        </w:rPr>
      </w:pPr>
      <w:r w:rsidRPr="009415A1">
        <w:rPr>
          <w:rFonts w:ascii="Times New Roman" w:hAnsi="Times New Roman" w:cs="ＭＳ 明朝" w:hint="eastAsia"/>
          <w:color w:val="000000"/>
          <w:kern w:val="0"/>
          <w:szCs w:val="21"/>
          <w:shd w:val="pct70" w:color="FFFFFF" w:fill="auto"/>
        </w:rPr>
        <w:lastRenderedPageBreak/>
        <w:t>（別表２）</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9"/>
        <w:gridCol w:w="2976"/>
        <w:gridCol w:w="744"/>
        <w:gridCol w:w="744"/>
        <w:gridCol w:w="850"/>
        <w:gridCol w:w="744"/>
        <w:gridCol w:w="744"/>
        <w:gridCol w:w="744"/>
        <w:gridCol w:w="744"/>
        <w:gridCol w:w="744"/>
        <w:gridCol w:w="744"/>
      </w:tblGrid>
      <w:tr w:rsidR="00392825" w:rsidRPr="009415A1" w:rsidTr="003A06E5">
        <w:tblPrEx>
          <w:tblCellMar>
            <w:top w:w="0" w:type="dxa"/>
            <w:bottom w:w="0" w:type="dxa"/>
          </w:tblCellMar>
        </w:tblPrEx>
        <w:trPr>
          <w:trHeight w:val="1008"/>
        </w:trPr>
        <w:tc>
          <w:tcPr>
            <w:tcW w:w="3295" w:type="dxa"/>
            <w:gridSpan w:val="2"/>
            <w:tcBorders>
              <w:top w:val="single" w:sz="4" w:space="0" w:color="000000"/>
              <w:left w:val="single" w:sz="4" w:space="0" w:color="000000"/>
              <w:bottom w:val="single" w:sz="4" w:space="0" w:color="000000"/>
              <w:right w:val="single" w:sz="4" w:space="0" w:color="000000"/>
              <w:tl2br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（実績）</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（実績）</w:t>
            </w: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実績／実</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績見込み</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r>
      <w:tr w:rsidR="00392825" w:rsidRPr="009415A1">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配当可能利益</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3295" w:type="dxa"/>
            <w:gridSpan w:val="2"/>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配当金総額（中間配当を含む）</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976"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普通株配当金（公的資金分）</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976"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普通株配当金（民間調達分）</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976"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優先株配当金（公的資金分）</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319" w:type="dxa"/>
            <w:vMerge/>
            <w:tcBorders>
              <w:top w:val="nil"/>
              <w:left w:val="single" w:sz="4" w:space="0" w:color="000000"/>
              <w:bottom w:val="sing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976"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優先株配当金（民間調達分）</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１株当たり配当金（普通株）</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１株当たり配当金（優先株）</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配当率（普通株、公的資金分）</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配当率（普通株、民間調達分）</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配当率（優先株、公的資金分）</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配当率（優先株、民間調達分）</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配当性向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bl>
    <w:p w:rsidR="00392825" w:rsidRPr="009415A1" w:rsidRDefault="00392825" w:rsidP="00392825">
      <w:pPr>
        <w:overflowPunct w:val="0"/>
        <w:adjustRightInd w:val="0"/>
        <w:textAlignment w:val="baseline"/>
        <w:rPr>
          <w:rFonts w:ascii="ＭＳ 明朝"/>
          <w:color w:val="000000"/>
          <w:spacing w:val="2"/>
          <w:kern w:val="0"/>
          <w:szCs w:val="21"/>
        </w:rPr>
      </w:pPr>
      <w:r w:rsidRPr="009415A1">
        <w:rPr>
          <w:rFonts w:ascii="Times New Roman" w:hAnsi="Times New Roman" w:cs="ＭＳ 明朝" w:hint="eastAsia"/>
          <w:color w:val="000000"/>
          <w:kern w:val="0"/>
          <w:szCs w:val="21"/>
        </w:rPr>
        <w:t>（記載上の注意）</w:t>
      </w:r>
    </w:p>
    <w:p w:rsidR="00392825" w:rsidRPr="009415A1" w:rsidRDefault="00392825" w:rsidP="00392825">
      <w:pPr>
        <w:overflowPunct w:val="0"/>
        <w:adjustRightInd w:val="0"/>
        <w:ind w:left="212" w:hanging="210"/>
        <w:textAlignment w:val="baseline"/>
        <w:rPr>
          <w:rFonts w:ascii="ＭＳ 明朝"/>
          <w:color w:val="000000"/>
          <w:spacing w:val="2"/>
          <w:kern w:val="0"/>
          <w:szCs w:val="21"/>
        </w:rPr>
      </w:pPr>
      <w:r w:rsidRPr="009415A1">
        <w:rPr>
          <w:rFonts w:ascii="Times New Roman" w:hAnsi="Times New Roman" w:cs="ＭＳ 明朝" w:hint="eastAsia"/>
          <w:color w:val="000000"/>
          <w:kern w:val="0"/>
          <w:szCs w:val="21"/>
        </w:rPr>
        <w:t>１　「公的資金分」とは、取得株式等（法第</w:t>
      </w:r>
      <w:r w:rsidRPr="009415A1">
        <w:rPr>
          <w:rFonts w:ascii="Times New Roman" w:hAnsi="Times New Roman"/>
          <w:color w:val="000000"/>
          <w:kern w:val="0"/>
          <w:szCs w:val="21"/>
        </w:rPr>
        <w:t>20</w:t>
      </w:r>
      <w:r w:rsidRPr="009415A1">
        <w:rPr>
          <w:rFonts w:ascii="Times New Roman" w:hAnsi="Times New Roman" w:cs="ＭＳ 明朝" w:hint="eastAsia"/>
          <w:color w:val="000000"/>
          <w:kern w:val="0"/>
          <w:szCs w:val="21"/>
        </w:rPr>
        <w:t>条第</w:t>
      </w:r>
      <w:r w:rsidRPr="009415A1">
        <w:rPr>
          <w:rFonts w:ascii="Times New Roman" w:hAnsi="Times New Roman"/>
          <w:color w:val="000000"/>
          <w:kern w:val="0"/>
          <w:szCs w:val="21"/>
        </w:rPr>
        <w:t>2</w:t>
      </w:r>
      <w:r w:rsidRPr="009415A1">
        <w:rPr>
          <w:rFonts w:ascii="Times New Roman" w:hAnsi="Times New Roman" w:cs="ＭＳ 明朝" w:hint="eastAsia"/>
          <w:color w:val="000000"/>
          <w:kern w:val="0"/>
          <w:szCs w:val="21"/>
        </w:rPr>
        <w:t>項に規定する取得株式等をいう。）である株式に係るものをいう。</w:t>
      </w:r>
    </w:p>
    <w:p w:rsidR="00392825" w:rsidRDefault="00392825" w:rsidP="00392825">
      <w:pPr>
        <w:overflowPunct w:val="0"/>
        <w:adjustRightInd w:val="0"/>
        <w:ind w:left="212" w:hanging="210"/>
        <w:textAlignment w:val="baseline"/>
        <w:rPr>
          <w:rFonts w:ascii="Times New Roman" w:hAnsi="Times New Roman" w:cs="ＭＳ 明朝" w:hint="eastAsia"/>
          <w:color w:val="000000"/>
          <w:kern w:val="0"/>
          <w:szCs w:val="21"/>
        </w:rPr>
      </w:pPr>
      <w:r w:rsidRPr="009415A1">
        <w:rPr>
          <w:rFonts w:ascii="Times New Roman" w:hAnsi="Times New Roman" w:cs="ＭＳ 明朝" w:hint="eastAsia"/>
          <w:color w:val="000000"/>
          <w:kern w:val="0"/>
          <w:szCs w:val="21"/>
        </w:rPr>
        <w:t>２　協同組織金融機関及び協同組織中央金融機関については、適宜必要な修正を行うこと。</w:t>
      </w:r>
    </w:p>
    <w:p w:rsidR="00A9754B" w:rsidRDefault="00A9754B" w:rsidP="00392825">
      <w:pPr>
        <w:overflowPunct w:val="0"/>
        <w:adjustRightInd w:val="0"/>
        <w:ind w:left="212" w:hanging="210"/>
        <w:textAlignment w:val="baseline"/>
        <w:rPr>
          <w:rFonts w:ascii="Times New Roman" w:hAnsi="Times New Roman" w:cs="ＭＳ 明朝" w:hint="eastAsia"/>
          <w:color w:val="000000"/>
          <w:kern w:val="0"/>
          <w:szCs w:val="21"/>
        </w:rPr>
      </w:pPr>
    </w:p>
    <w:p w:rsidR="00A9754B" w:rsidRDefault="00A9754B" w:rsidP="00392825">
      <w:pPr>
        <w:overflowPunct w:val="0"/>
        <w:adjustRightInd w:val="0"/>
        <w:ind w:left="212" w:hanging="210"/>
        <w:textAlignment w:val="baseline"/>
        <w:rPr>
          <w:rFonts w:ascii="Times New Roman" w:hAnsi="Times New Roman" w:cs="ＭＳ 明朝" w:hint="eastAsia"/>
          <w:color w:val="000000"/>
          <w:kern w:val="0"/>
          <w:szCs w:val="21"/>
        </w:rPr>
      </w:pPr>
    </w:p>
    <w:p w:rsidR="00911813" w:rsidRPr="00DF10CD" w:rsidRDefault="00911813" w:rsidP="00C630B4">
      <w:pPr>
        <w:rPr>
          <w:rFonts w:ascii="ＭＳ 明朝" w:hAnsi="ＭＳ 明朝" w:hint="eastAsia"/>
        </w:rPr>
      </w:pPr>
    </w:p>
    <w:sectPr w:rsidR="00911813" w:rsidRPr="00DF10CD" w:rsidSect="00392825">
      <w:pgSz w:w="11906" w:h="16838"/>
      <w:pgMar w:top="1700" w:right="850" w:bottom="1700" w:left="85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7BD" w:rsidRDefault="002047BD">
      <w:r>
        <w:separator/>
      </w:r>
    </w:p>
  </w:endnote>
  <w:endnote w:type="continuationSeparator" w:id="0">
    <w:p w:rsidR="002047BD" w:rsidRDefault="00204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F4C" w:rsidRDefault="00527F4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825" w:rsidRDefault="00392825">
    <w:pPr>
      <w:autoSpaceDE w:val="0"/>
      <w:autoSpaceDN w:val="0"/>
      <w:jc w:val="left"/>
      <w:rPr>
        <w:rFonts w:ascii="ＭＳ 明朝"/>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F4C" w:rsidRDefault="00527F4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7BD" w:rsidRDefault="002047BD">
      <w:r>
        <w:separator/>
      </w:r>
    </w:p>
  </w:footnote>
  <w:footnote w:type="continuationSeparator" w:id="0">
    <w:p w:rsidR="002047BD" w:rsidRDefault="00204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F4C" w:rsidRDefault="00527F4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825" w:rsidRDefault="00392825">
    <w:pPr>
      <w:autoSpaceDE w:val="0"/>
      <w:autoSpaceDN w:val="0"/>
      <w:jc w:val="left"/>
      <w:rPr>
        <w:rFonts w:ascii="ＭＳ 明朝"/>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F4C" w:rsidRDefault="00527F4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0858E9"/>
    <w:multiLevelType w:val="hybridMultilevel"/>
    <w:tmpl w:val="1C3A48EA"/>
    <w:lvl w:ilvl="0" w:tplc="8AB85DF6">
      <w:start w:val="3"/>
      <w:numFmt w:val="decimalEnclosedCircle"/>
      <w:lvlText w:val="%1"/>
      <w:lvlJc w:val="left"/>
      <w:pPr>
        <w:tabs>
          <w:tab w:val="num" w:pos="1200"/>
        </w:tabs>
        <w:ind w:left="1200" w:hanging="360"/>
      </w:pPr>
      <w:rPr>
        <w:rFonts w:cs="ＭＳ 明朝"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352"/>
    <w:rsid w:val="000308FF"/>
    <w:rsid w:val="000410A6"/>
    <w:rsid w:val="00042D84"/>
    <w:rsid w:val="00054EA1"/>
    <w:rsid w:val="00075324"/>
    <w:rsid w:val="00076BFD"/>
    <w:rsid w:val="00080DB9"/>
    <w:rsid w:val="000909A3"/>
    <w:rsid w:val="0009266D"/>
    <w:rsid w:val="00097481"/>
    <w:rsid w:val="000B4C1F"/>
    <w:rsid w:val="000C731E"/>
    <w:rsid w:val="000D02C1"/>
    <w:rsid w:val="000E4BBA"/>
    <w:rsid w:val="00142305"/>
    <w:rsid w:val="00155237"/>
    <w:rsid w:val="001922C6"/>
    <w:rsid w:val="001A727A"/>
    <w:rsid w:val="001B2252"/>
    <w:rsid w:val="001C26CE"/>
    <w:rsid w:val="001D29F1"/>
    <w:rsid w:val="001E4E6B"/>
    <w:rsid w:val="002047BD"/>
    <w:rsid w:val="00243C1C"/>
    <w:rsid w:val="002741A2"/>
    <w:rsid w:val="00285055"/>
    <w:rsid w:val="002A6AC2"/>
    <w:rsid w:val="002D2290"/>
    <w:rsid w:val="002F1309"/>
    <w:rsid w:val="002F584F"/>
    <w:rsid w:val="003021EE"/>
    <w:rsid w:val="00330E8E"/>
    <w:rsid w:val="0034005E"/>
    <w:rsid w:val="00362C69"/>
    <w:rsid w:val="00374A72"/>
    <w:rsid w:val="00392825"/>
    <w:rsid w:val="003A06E5"/>
    <w:rsid w:val="003C53F1"/>
    <w:rsid w:val="003C5B79"/>
    <w:rsid w:val="003F06C7"/>
    <w:rsid w:val="003F1E7D"/>
    <w:rsid w:val="0041533C"/>
    <w:rsid w:val="00426754"/>
    <w:rsid w:val="0043684B"/>
    <w:rsid w:val="00452881"/>
    <w:rsid w:val="00452C74"/>
    <w:rsid w:val="004670BC"/>
    <w:rsid w:val="004A0D7A"/>
    <w:rsid w:val="004E14B6"/>
    <w:rsid w:val="004F5175"/>
    <w:rsid w:val="004F52FC"/>
    <w:rsid w:val="00527F4C"/>
    <w:rsid w:val="00541ABF"/>
    <w:rsid w:val="00546DFA"/>
    <w:rsid w:val="005626E7"/>
    <w:rsid w:val="0056391B"/>
    <w:rsid w:val="005654D8"/>
    <w:rsid w:val="00594AC4"/>
    <w:rsid w:val="005A07FD"/>
    <w:rsid w:val="005D49C9"/>
    <w:rsid w:val="0060144A"/>
    <w:rsid w:val="006255EC"/>
    <w:rsid w:val="00626CBB"/>
    <w:rsid w:val="00664E4A"/>
    <w:rsid w:val="006730EE"/>
    <w:rsid w:val="0068595D"/>
    <w:rsid w:val="006C106A"/>
    <w:rsid w:val="006C3EE0"/>
    <w:rsid w:val="006D3F0F"/>
    <w:rsid w:val="006D53E5"/>
    <w:rsid w:val="006F0352"/>
    <w:rsid w:val="006F4E0B"/>
    <w:rsid w:val="00716AEB"/>
    <w:rsid w:val="00717D47"/>
    <w:rsid w:val="00744CDD"/>
    <w:rsid w:val="007758D3"/>
    <w:rsid w:val="007A1158"/>
    <w:rsid w:val="007A597F"/>
    <w:rsid w:val="007C72AA"/>
    <w:rsid w:val="007F7A8D"/>
    <w:rsid w:val="008126B9"/>
    <w:rsid w:val="00824787"/>
    <w:rsid w:val="00864399"/>
    <w:rsid w:val="00880876"/>
    <w:rsid w:val="00882953"/>
    <w:rsid w:val="00885FAD"/>
    <w:rsid w:val="008A19A5"/>
    <w:rsid w:val="008B0266"/>
    <w:rsid w:val="008D6C20"/>
    <w:rsid w:val="008E07D2"/>
    <w:rsid w:val="008E653E"/>
    <w:rsid w:val="008F273B"/>
    <w:rsid w:val="00911813"/>
    <w:rsid w:val="009415A1"/>
    <w:rsid w:val="00950203"/>
    <w:rsid w:val="009640D4"/>
    <w:rsid w:val="00982F2A"/>
    <w:rsid w:val="009B09B8"/>
    <w:rsid w:val="009C7E76"/>
    <w:rsid w:val="009E6CB7"/>
    <w:rsid w:val="00A0667D"/>
    <w:rsid w:val="00A46CE8"/>
    <w:rsid w:val="00A56B62"/>
    <w:rsid w:val="00A63B4A"/>
    <w:rsid w:val="00A9754B"/>
    <w:rsid w:val="00AB3177"/>
    <w:rsid w:val="00AC19C9"/>
    <w:rsid w:val="00B0581D"/>
    <w:rsid w:val="00B663EC"/>
    <w:rsid w:val="00B6706A"/>
    <w:rsid w:val="00B870FC"/>
    <w:rsid w:val="00C06DE3"/>
    <w:rsid w:val="00C1482C"/>
    <w:rsid w:val="00C618F5"/>
    <w:rsid w:val="00C630B4"/>
    <w:rsid w:val="00C66224"/>
    <w:rsid w:val="00C76FDC"/>
    <w:rsid w:val="00CB202B"/>
    <w:rsid w:val="00CE55FE"/>
    <w:rsid w:val="00D007C6"/>
    <w:rsid w:val="00D0463E"/>
    <w:rsid w:val="00D33CDC"/>
    <w:rsid w:val="00D63F48"/>
    <w:rsid w:val="00D71211"/>
    <w:rsid w:val="00D93F15"/>
    <w:rsid w:val="00DC41A5"/>
    <w:rsid w:val="00DD5412"/>
    <w:rsid w:val="00DF10CD"/>
    <w:rsid w:val="00E14558"/>
    <w:rsid w:val="00EC5E61"/>
    <w:rsid w:val="00EC7E26"/>
    <w:rsid w:val="00F04EC6"/>
    <w:rsid w:val="00F15248"/>
    <w:rsid w:val="00F30EE5"/>
    <w:rsid w:val="00F32309"/>
    <w:rsid w:val="00F423C7"/>
    <w:rsid w:val="00F45379"/>
    <w:rsid w:val="00F5219C"/>
    <w:rsid w:val="00F60B75"/>
    <w:rsid w:val="00F755C2"/>
    <w:rsid w:val="00FC1A29"/>
    <w:rsid w:val="00FE4446"/>
    <w:rsid w:val="00FE76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7A1158"/>
    <w:pPr>
      <w:tabs>
        <w:tab w:val="center" w:pos="4252"/>
        <w:tab w:val="right" w:pos="8504"/>
      </w:tabs>
      <w:snapToGrid w:val="0"/>
    </w:pPr>
  </w:style>
  <w:style w:type="paragraph" w:styleId="a4">
    <w:name w:val="footer"/>
    <w:basedOn w:val="a"/>
    <w:rsid w:val="007A1158"/>
    <w:pPr>
      <w:tabs>
        <w:tab w:val="center" w:pos="4252"/>
        <w:tab w:val="right" w:pos="8504"/>
      </w:tabs>
      <w:snapToGrid w:val="0"/>
    </w:pPr>
  </w:style>
  <w:style w:type="paragraph" w:styleId="a5">
    <w:name w:val="Note Heading"/>
    <w:basedOn w:val="a"/>
    <w:next w:val="a"/>
    <w:rsid w:val="00B870FC"/>
    <w:pPr>
      <w:jc w:val="center"/>
    </w:pPr>
    <w:rPr>
      <w:rFonts w:ascii="Arial" w:hAnsi="Arial"/>
      <w:sz w:val="22"/>
    </w:rPr>
  </w:style>
  <w:style w:type="paragraph" w:styleId="a6">
    <w:name w:val="Balloon Text"/>
    <w:basedOn w:val="a"/>
    <w:semiHidden/>
    <w:rsid w:val="00A9754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1149</Words>
  <Characters>6552</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2023-09-29T06:57:00Z</dcterms:created>
  <dcterms:modified xsi:type="dcterms:W3CDTF">2023-09-29T06:57:00Z</dcterms:modified>
</cp:coreProperties>
</file>