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E75CA" w:rsidRDefault="004E75CA" w:rsidP="004E75C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E75CA" w:rsidRDefault="00BB6331" w:rsidP="00BB6331">
      <w:pPr>
        <w:rPr>
          <w:rFonts w:hint="eastAsia"/>
        </w:rPr>
      </w:pPr>
    </w:p>
    <w:p w:rsidR="001E741B" w:rsidRDefault="001E741B" w:rsidP="001E741B">
      <w:pPr>
        <w:rPr>
          <w:rFonts w:hint="eastAsia"/>
        </w:rPr>
      </w:pPr>
      <w:r>
        <w:rPr>
          <w:rFonts w:hint="eastAsia"/>
        </w:rPr>
        <w:t>（一に満たない端数の処理等）</w:t>
      </w:r>
    </w:p>
    <w:p w:rsidR="001E741B" w:rsidRDefault="001E741B" w:rsidP="0055686D">
      <w:pPr>
        <w:ind w:left="178" w:hangingChars="85" w:hanging="178"/>
        <w:rPr>
          <w:rFonts w:hint="eastAsia"/>
        </w:rPr>
      </w:pPr>
      <w:r>
        <w:rPr>
          <w:rFonts w:hint="eastAsia"/>
        </w:rPr>
        <w:t>第百四十三条　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BB6331" w:rsidRDefault="001E741B" w:rsidP="0055686D">
      <w:pPr>
        <w:ind w:left="178" w:hangingChars="85" w:hanging="178"/>
        <w:rPr>
          <w:rFonts w:hint="eastAsia"/>
        </w:rPr>
      </w:pPr>
      <w:r>
        <w:rPr>
          <w:rFonts w:hint="eastAsia"/>
        </w:rPr>
        <w:t>２　合併に際して資本準備金として計上すべき額その他合併に際しての計算に関し必要な事項は、内閣府令で定める。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2322B">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2322B">
        <w:rPr>
          <w:rFonts w:hint="eastAsia"/>
        </w:rPr>
        <w:t>（改正なし）</w:t>
      </w:r>
    </w:p>
    <w:p w:rsidR="009A358D" w:rsidRDefault="009A358D" w:rsidP="009A358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5686D">
        <w:tab/>
      </w:r>
      <w:r w:rsidR="0055686D">
        <w:rPr>
          <w:rFonts w:hint="eastAsia"/>
        </w:rPr>
        <w:t>（改正なし）</w:t>
      </w:r>
    </w:p>
    <w:p w:rsidR="009A358D" w:rsidRDefault="00BB6331" w:rsidP="009A358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A358D" w:rsidRDefault="009A358D" w:rsidP="009A358D"/>
    <w:p w:rsidR="009A358D" w:rsidRDefault="009A358D" w:rsidP="009A358D">
      <w:r>
        <w:rPr>
          <w:rFonts w:hint="eastAsia"/>
        </w:rPr>
        <w:t>（改正後）</w:t>
      </w:r>
    </w:p>
    <w:p w:rsidR="009A358D" w:rsidRPr="009A358D" w:rsidRDefault="009A358D" w:rsidP="009A358D">
      <w:pPr>
        <w:rPr>
          <w:rFonts w:hint="eastAsia"/>
          <w:u w:val="single" w:color="FF0000"/>
        </w:rPr>
      </w:pPr>
      <w:r w:rsidRPr="009A358D">
        <w:rPr>
          <w:rFonts w:hint="eastAsia"/>
          <w:u w:val="single" w:color="FF0000"/>
        </w:rPr>
        <w:t>（一に満たない端数の処理等）</w:t>
      </w:r>
    </w:p>
    <w:p w:rsidR="009A358D" w:rsidRDefault="009A358D" w:rsidP="009A358D">
      <w:pPr>
        <w:ind w:left="178" w:hangingChars="85" w:hanging="178"/>
        <w:rPr>
          <w:rFonts w:hint="eastAsia"/>
        </w:rPr>
      </w:pPr>
      <w:r>
        <w:rPr>
          <w:rFonts w:hint="eastAsia"/>
        </w:rPr>
        <w:t>第百四十三条　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9A358D" w:rsidRDefault="009A358D" w:rsidP="009A358D">
      <w:pPr>
        <w:ind w:left="178" w:hangingChars="85" w:hanging="178"/>
        <w:rPr>
          <w:rFonts w:hint="eastAsia"/>
        </w:rPr>
      </w:pPr>
      <w:r w:rsidRPr="009A358D">
        <w:rPr>
          <w:rFonts w:hint="eastAsia"/>
          <w:u w:val="single" w:color="FF0000"/>
        </w:rPr>
        <w:t>２</w:t>
      </w:r>
      <w:r>
        <w:rPr>
          <w:rFonts w:hint="eastAsia"/>
        </w:rPr>
        <w:t xml:space="preserve">　合併に際して資本準備金として計上すべき額その他合併に際しての計算に関し必要な事項は、内閣府令で定める。</w:t>
      </w:r>
    </w:p>
    <w:p w:rsidR="009A358D" w:rsidRPr="009A358D" w:rsidRDefault="009A358D" w:rsidP="009A358D">
      <w:pPr>
        <w:ind w:left="178" w:hangingChars="85" w:hanging="178"/>
      </w:pPr>
    </w:p>
    <w:p w:rsidR="009A358D" w:rsidRDefault="009A358D" w:rsidP="009A358D">
      <w:pPr>
        <w:ind w:left="178" w:hangingChars="85" w:hanging="178"/>
      </w:pPr>
      <w:r>
        <w:rPr>
          <w:rFonts w:hint="eastAsia"/>
        </w:rPr>
        <w:lastRenderedPageBreak/>
        <w:t>（改正前）</w:t>
      </w:r>
    </w:p>
    <w:p w:rsidR="009A358D" w:rsidRDefault="009A358D" w:rsidP="009A358D">
      <w:pPr>
        <w:rPr>
          <w:u w:val="single" w:color="FF0000"/>
        </w:rPr>
      </w:pPr>
      <w:r>
        <w:rPr>
          <w:rFonts w:hint="eastAsia"/>
          <w:u w:val="single" w:color="FF0000"/>
        </w:rPr>
        <w:t>（新設）</w:t>
      </w:r>
    </w:p>
    <w:p w:rsidR="009A358D" w:rsidRPr="00735EFA" w:rsidRDefault="009A358D" w:rsidP="009A358D">
      <w:pPr>
        <w:ind w:left="178" w:hangingChars="85" w:hanging="178"/>
        <w:rPr>
          <w:rFonts w:hint="eastAsia"/>
        </w:rPr>
      </w:pPr>
      <w:r>
        <w:rPr>
          <w:rFonts w:hint="eastAsia"/>
        </w:rPr>
        <w:t xml:space="preserve">第百四十三条　</w:t>
      </w:r>
      <w:r w:rsidRPr="00735EFA">
        <w:rPr>
          <w:rFonts w:hint="eastAsia"/>
        </w:rPr>
        <w:t>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9A358D" w:rsidRPr="00735EFA" w:rsidRDefault="009A358D" w:rsidP="009A358D">
      <w:pPr>
        <w:ind w:left="178" w:hangingChars="85" w:hanging="178"/>
        <w:rPr>
          <w:rFonts w:hint="eastAsia"/>
        </w:rPr>
      </w:pPr>
      <w:r w:rsidRPr="009A358D">
        <w:rPr>
          <w:rFonts w:hint="eastAsia"/>
          <w:u w:val="single" w:color="FF0000"/>
        </w:rPr>
        <w:t>②</w:t>
      </w:r>
      <w:r w:rsidRPr="00735EFA">
        <w:rPr>
          <w:rFonts w:hint="eastAsia"/>
        </w:rPr>
        <w:t xml:space="preserve">　合併に際して資本準備金として計上すべき額その他合併に際しての計算に関し必要な事項は、内閣府令で定める。</w:t>
      </w:r>
    </w:p>
    <w:p w:rsidR="009A358D" w:rsidRPr="009A358D" w:rsidRDefault="009A358D" w:rsidP="009A358D"/>
    <w:p w:rsidR="0055686D" w:rsidRPr="009A358D" w:rsidRDefault="0055686D" w:rsidP="0055686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A358D">
        <w:tab/>
      </w:r>
      <w:r w:rsidR="009A358D">
        <w:rPr>
          <w:rFonts w:hint="eastAsia"/>
        </w:rPr>
        <w:t>（改正なし）</w:t>
      </w:r>
    </w:p>
    <w:p w:rsidR="00C63F85" w:rsidRDefault="00BB6331" w:rsidP="00C63F8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63F85" w:rsidRDefault="00C63F85" w:rsidP="00C63F85"/>
    <w:p w:rsidR="00C63F85" w:rsidRDefault="00C63F85" w:rsidP="00C63F85">
      <w:r>
        <w:rPr>
          <w:rFonts w:hint="eastAsia"/>
        </w:rPr>
        <w:t>（改正後）</w:t>
      </w:r>
    </w:p>
    <w:p w:rsidR="00C63F85" w:rsidRPr="00735EFA" w:rsidRDefault="00C63F85" w:rsidP="00C63F85">
      <w:pPr>
        <w:ind w:left="178" w:hangingChars="85" w:hanging="178"/>
        <w:rPr>
          <w:rFonts w:hint="eastAsia"/>
        </w:rPr>
      </w:pPr>
      <w:r>
        <w:rPr>
          <w:rFonts w:hint="eastAsia"/>
        </w:rPr>
        <w:t xml:space="preserve">第百四十三条　</w:t>
      </w:r>
      <w:r w:rsidRPr="00735EFA">
        <w:rPr>
          <w:rFonts w:hint="eastAsia"/>
        </w:rPr>
        <w:t>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C63F85" w:rsidRPr="00735EFA" w:rsidRDefault="00C63F85" w:rsidP="00C63F85">
      <w:pPr>
        <w:ind w:left="178" w:hangingChars="85" w:hanging="178"/>
        <w:rPr>
          <w:rFonts w:hint="eastAsia"/>
        </w:rPr>
      </w:pPr>
      <w:r w:rsidRPr="00735EFA">
        <w:rPr>
          <w:rFonts w:hint="eastAsia"/>
        </w:rPr>
        <w:t>②　合併に際して資本準備金として計上すべき額その他合併に際しての計算に関し必要な事項は、内閣府令で定める。</w:t>
      </w:r>
    </w:p>
    <w:p w:rsidR="00C63F85" w:rsidRPr="00C63F85" w:rsidRDefault="00C63F85" w:rsidP="00C63F85">
      <w:pPr>
        <w:ind w:left="178" w:hangingChars="85" w:hanging="178"/>
      </w:pPr>
    </w:p>
    <w:p w:rsidR="00735EFA" w:rsidRDefault="00735EFA" w:rsidP="00735EFA">
      <w:pPr>
        <w:ind w:left="178" w:hangingChars="85" w:hanging="178"/>
      </w:pPr>
      <w:r>
        <w:rPr>
          <w:rFonts w:hint="eastAsia"/>
        </w:rPr>
        <w:t>（改正前）</w:t>
      </w:r>
    </w:p>
    <w:p w:rsidR="00735EFA" w:rsidRDefault="00735EFA" w:rsidP="00735EFA">
      <w:pPr>
        <w:rPr>
          <w:u w:val="single" w:color="FF0000"/>
        </w:rPr>
      </w:pPr>
      <w:r>
        <w:rPr>
          <w:rFonts w:hint="eastAsia"/>
          <w:u w:val="single" w:color="FF0000"/>
        </w:rPr>
        <w:t>（新設）</w:t>
      </w:r>
    </w:p>
    <w:p w:rsidR="00735EFA" w:rsidRDefault="00735EFA" w:rsidP="00735EFA"/>
    <w:sectPr w:rsidR="00735E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F0F" w:rsidRDefault="00550F0F">
      <w:r>
        <w:separator/>
      </w:r>
    </w:p>
  </w:endnote>
  <w:endnote w:type="continuationSeparator" w:id="0">
    <w:p w:rsidR="00550F0F" w:rsidRDefault="0055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20FF">
      <w:rPr>
        <w:rStyle w:val="a4"/>
        <w:noProof/>
      </w:rPr>
      <w:t>1</w:t>
    </w:r>
    <w:r>
      <w:rPr>
        <w:rStyle w:val="a4"/>
      </w:rPr>
      <w:fldChar w:fldCharType="end"/>
    </w:r>
  </w:p>
  <w:p w:rsidR="00BB6331" w:rsidRDefault="0055686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F0F" w:rsidRDefault="00550F0F">
      <w:r>
        <w:separator/>
      </w:r>
    </w:p>
  </w:footnote>
  <w:footnote w:type="continuationSeparator" w:id="0">
    <w:p w:rsidR="00550F0F" w:rsidRDefault="00550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E741B"/>
    <w:rsid w:val="00270B08"/>
    <w:rsid w:val="004E75CA"/>
    <w:rsid w:val="0052322B"/>
    <w:rsid w:val="00550F0F"/>
    <w:rsid w:val="0055686D"/>
    <w:rsid w:val="0061065C"/>
    <w:rsid w:val="00641E16"/>
    <w:rsid w:val="0064706C"/>
    <w:rsid w:val="00680762"/>
    <w:rsid w:val="00735EFA"/>
    <w:rsid w:val="007D76EA"/>
    <w:rsid w:val="007F4ED0"/>
    <w:rsid w:val="009A358D"/>
    <w:rsid w:val="009E20FF"/>
    <w:rsid w:val="00B1383A"/>
    <w:rsid w:val="00B43569"/>
    <w:rsid w:val="00B85876"/>
    <w:rsid w:val="00BB6331"/>
    <w:rsid w:val="00BD1226"/>
    <w:rsid w:val="00C62377"/>
    <w:rsid w:val="00C63F85"/>
    <w:rsid w:val="00C90719"/>
    <w:rsid w:val="00D42D59"/>
    <w:rsid w:val="00E1014E"/>
    <w:rsid w:val="00EF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5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568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339">
      <w:bodyDiv w:val="1"/>
      <w:marLeft w:val="0"/>
      <w:marRight w:val="0"/>
      <w:marTop w:val="0"/>
      <w:marBottom w:val="0"/>
      <w:divBdr>
        <w:top w:val="none" w:sz="0" w:space="0" w:color="auto"/>
        <w:left w:val="none" w:sz="0" w:space="0" w:color="auto"/>
        <w:bottom w:val="none" w:sz="0" w:space="0" w:color="auto"/>
        <w:right w:val="none" w:sz="0" w:space="0" w:color="auto"/>
      </w:divBdr>
    </w:div>
    <w:div w:id="135531693">
      <w:bodyDiv w:val="1"/>
      <w:marLeft w:val="0"/>
      <w:marRight w:val="0"/>
      <w:marTop w:val="0"/>
      <w:marBottom w:val="0"/>
      <w:divBdr>
        <w:top w:val="none" w:sz="0" w:space="0" w:color="auto"/>
        <w:left w:val="none" w:sz="0" w:space="0" w:color="auto"/>
        <w:bottom w:val="none" w:sz="0" w:space="0" w:color="auto"/>
        <w:right w:val="none" w:sz="0" w:space="0" w:color="auto"/>
      </w:divBdr>
    </w:div>
    <w:div w:id="238713478">
      <w:bodyDiv w:val="1"/>
      <w:marLeft w:val="0"/>
      <w:marRight w:val="0"/>
      <w:marTop w:val="0"/>
      <w:marBottom w:val="0"/>
      <w:divBdr>
        <w:top w:val="none" w:sz="0" w:space="0" w:color="auto"/>
        <w:left w:val="none" w:sz="0" w:space="0" w:color="auto"/>
        <w:bottom w:val="none" w:sz="0" w:space="0" w:color="auto"/>
        <w:right w:val="none" w:sz="0" w:space="0" w:color="auto"/>
      </w:divBdr>
    </w:div>
    <w:div w:id="539637055">
      <w:bodyDiv w:val="1"/>
      <w:marLeft w:val="0"/>
      <w:marRight w:val="0"/>
      <w:marTop w:val="0"/>
      <w:marBottom w:val="0"/>
      <w:divBdr>
        <w:top w:val="none" w:sz="0" w:space="0" w:color="auto"/>
        <w:left w:val="none" w:sz="0" w:space="0" w:color="auto"/>
        <w:bottom w:val="none" w:sz="0" w:space="0" w:color="auto"/>
        <w:right w:val="none" w:sz="0" w:space="0" w:color="auto"/>
      </w:divBdr>
    </w:div>
    <w:div w:id="732890266">
      <w:bodyDiv w:val="1"/>
      <w:marLeft w:val="0"/>
      <w:marRight w:val="0"/>
      <w:marTop w:val="0"/>
      <w:marBottom w:val="0"/>
      <w:divBdr>
        <w:top w:val="none" w:sz="0" w:space="0" w:color="auto"/>
        <w:left w:val="none" w:sz="0" w:space="0" w:color="auto"/>
        <w:bottom w:val="none" w:sz="0" w:space="0" w:color="auto"/>
        <w:right w:val="none" w:sz="0" w:space="0" w:color="auto"/>
      </w:divBdr>
    </w:div>
    <w:div w:id="909730146">
      <w:bodyDiv w:val="1"/>
      <w:marLeft w:val="0"/>
      <w:marRight w:val="0"/>
      <w:marTop w:val="0"/>
      <w:marBottom w:val="0"/>
      <w:divBdr>
        <w:top w:val="none" w:sz="0" w:space="0" w:color="auto"/>
        <w:left w:val="none" w:sz="0" w:space="0" w:color="auto"/>
        <w:bottom w:val="none" w:sz="0" w:space="0" w:color="auto"/>
        <w:right w:val="none" w:sz="0" w:space="0" w:color="auto"/>
      </w:divBdr>
    </w:div>
    <w:div w:id="1329211869">
      <w:bodyDiv w:val="1"/>
      <w:marLeft w:val="0"/>
      <w:marRight w:val="0"/>
      <w:marTop w:val="0"/>
      <w:marBottom w:val="0"/>
      <w:divBdr>
        <w:top w:val="none" w:sz="0" w:space="0" w:color="auto"/>
        <w:left w:val="none" w:sz="0" w:space="0" w:color="auto"/>
        <w:bottom w:val="none" w:sz="0" w:space="0" w:color="auto"/>
        <w:right w:val="none" w:sz="0" w:space="0" w:color="auto"/>
      </w:divBdr>
    </w:div>
    <w:div w:id="1342850095">
      <w:bodyDiv w:val="1"/>
      <w:marLeft w:val="0"/>
      <w:marRight w:val="0"/>
      <w:marTop w:val="0"/>
      <w:marBottom w:val="0"/>
      <w:divBdr>
        <w:top w:val="none" w:sz="0" w:space="0" w:color="auto"/>
        <w:left w:val="none" w:sz="0" w:space="0" w:color="auto"/>
        <w:bottom w:val="none" w:sz="0" w:space="0" w:color="auto"/>
        <w:right w:val="none" w:sz="0" w:space="0" w:color="auto"/>
      </w:divBdr>
    </w:div>
    <w:div w:id="1423336629">
      <w:bodyDiv w:val="1"/>
      <w:marLeft w:val="0"/>
      <w:marRight w:val="0"/>
      <w:marTop w:val="0"/>
      <w:marBottom w:val="0"/>
      <w:divBdr>
        <w:top w:val="none" w:sz="0" w:space="0" w:color="auto"/>
        <w:left w:val="none" w:sz="0" w:space="0" w:color="auto"/>
        <w:bottom w:val="none" w:sz="0" w:space="0" w:color="auto"/>
        <w:right w:val="none" w:sz="0" w:space="0" w:color="auto"/>
      </w:divBdr>
    </w:div>
    <w:div w:id="1474132128">
      <w:bodyDiv w:val="1"/>
      <w:marLeft w:val="0"/>
      <w:marRight w:val="0"/>
      <w:marTop w:val="0"/>
      <w:marBottom w:val="0"/>
      <w:divBdr>
        <w:top w:val="none" w:sz="0" w:space="0" w:color="auto"/>
        <w:left w:val="none" w:sz="0" w:space="0" w:color="auto"/>
        <w:bottom w:val="none" w:sz="0" w:space="0" w:color="auto"/>
        <w:right w:val="none" w:sz="0" w:space="0" w:color="auto"/>
      </w:divBdr>
    </w:div>
    <w:div w:id="159548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金融商品取引法第143条</vt:lpstr>
      <vt:lpstr>金融商品取引法第143条</vt:lpstr>
    </vt:vector>
  </TitlesOfParts>
  <Manager/>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金融商品取引法第143条</dc:title>
  <dc:subject/>
  <dc:creator/>
  <cp:keywords/>
  <dc:description/>
  <cp:lastModifiedBy/>
  <cp:revision>1</cp:revision>
  <dcterms:created xsi:type="dcterms:W3CDTF">2024-10-04T04:38:00Z</dcterms:created>
  <dcterms:modified xsi:type="dcterms:W3CDTF">2024-10-04T04:38:00Z</dcterms:modified>
</cp:coreProperties>
</file>