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D82" w:rsidRDefault="00B35D82" w:rsidP="00B35D8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71CA4" w:rsidRPr="00B35D82" w:rsidRDefault="00E71CA4" w:rsidP="00E71CA4"/>
    <w:p w:rsidR="00E71CA4" w:rsidRDefault="00E71CA4" w:rsidP="00B35D82">
      <w:pPr>
        <w:ind w:leftChars="85" w:left="178"/>
        <w:rPr>
          <w:rFonts w:hint="eastAsia"/>
        </w:rPr>
      </w:pPr>
      <w:r>
        <w:rPr>
          <w:rFonts w:hint="eastAsia"/>
        </w:rPr>
        <w:t>（取引所取引業務の許可）</w:t>
      </w:r>
    </w:p>
    <w:p w:rsidR="00E71CA4" w:rsidRDefault="00E71CA4" w:rsidP="00B35D82">
      <w:pPr>
        <w:ind w:left="179" w:hangingChars="85" w:hanging="179"/>
        <w:rPr>
          <w:rFonts w:hint="eastAsia"/>
        </w:rPr>
      </w:pPr>
      <w:r w:rsidRPr="00B35D82">
        <w:rPr>
          <w:rFonts w:hint="eastAsia"/>
          <w:b/>
        </w:rPr>
        <w:t>第六十条</w:t>
      </w:r>
      <w:r>
        <w:rPr>
          <w:rFonts w:hint="eastAsia"/>
        </w:rPr>
        <w:t xml:space="preserve">　外国証券業者は、第二十九条及び第五十八条の二の規定にかかわらず、内閣総理大臣の許可を受けて、金融商品取引所における有価証券の売買及び市場デリバティブ取引（有価証券等清算取次ぎ（第二条第二十七項第一号に係るものに限る。以下この項において同じ。）の委託者として当該有価証券等清算取次ぎを行う者を代理してこれらの取引を行う場合を含む。以下「取引所取引」という。）を業として行うこと（以下この款において「取引所取引業務」という。）ができる。</w:t>
      </w:r>
    </w:p>
    <w:p w:rsidR="00E71CA4" w:rsidRDefault="00E71CA4" w:rsidP="003D3181">
      <w:pPr>
        <w:ind w:left="178" w:hangingChars="85" w:hanging="178"/>
        <w:rPr>
          <w:rFonts w:hint="eastAsia"/>
        </w:rPr>
      </w:pPr>
      <w:r>
        <w:rPr>
          <w:rFonts w:hint="eastAsia"/>
        </w:rPr>
        <w:t>２　内閣総理大臣は、前項の許可に条件を付することができる。</w:t>
      </w:r>
    </w:p>
    <w:p w:rsidR="00E71CA4" w:rsidRDefault="00E71CA4" w:rsidP="003D3181">
      <w:pPr>
        <w:ind w:left="178" w:hangingChars="85" w:hanging="178"/>
        <w:rPr>
          <w:rFonts w:hint="eastAsia"/>
        </w:rPr>
      </w:pPr>
      <w:r>
        <w:rPr>
          <w:rFonts w:hint="eastAsia"/>
        </w:rPr>
        <w:t>３　前項の条件は、公益又は投資者保護のため必要な最小限度のものでなければならない。</w:t>
      </w:r>
    </w:p>
    <w:p w:rsidR="00BB6331" w:rsidRDefault="00E71CA4" w:rsidP="003D3181">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B35D82" w:rsidRDefault="00B35D82" w:rsidP="00B35D8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35D82" w:rsidRDefault="00B35D82" w:rsidP="00B35D8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A29E6">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A29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A29E6">
        <w:rPr>
          <w:rFonts w:hint="eastAsia"/>
        </w:rPr>
        <w:t>（改正なし）</w:t>
      </w:r>
    </w:p>
    <w:p w:rsidR="00F0694C" w:rsidRDefault="00F0694C" w:rsidP="00F0694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D3181">
        <w:tab/>
      </w:r>
      <w:r w:rsidR="003D3181">
        <w:rPr>
          <w:rFonts w:hint="eastAsia"/>
        </w:rPr>
        <w:t>（改正なし）</w:t>
      </w:r>
    </w:p>
    <w:p w:rsidR="000A3F63" w:rsidRDefault="00BB6331" w:rsidP="000A3F6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A3F63" w:rsidRDefault="000A3F63" w:rsidP="000A3F63"/>
    <w:p w:rsidR="000A3F63" w:rsidRDefault="000A3F63" w:rsidP="000A3F63">
      <w:r>
        <w:rPr>
          <w:rFonts w:hint="eastAsia"/>
        </w:rPr>
        <w:t>（改正後）</w:t>
      </w:r>
    </w:p>
    <w:p w:rsidR="000A3F63" w:rsidRDefault="000A3F63" w:rsidP="000A3F63">
      <w:pPr>
        <w:rPr>
          <w:rFonts w:hint="eastAsia"/>
        </w:rPr>
      </w:pPr>
      <w:r>
        <w:rPr>
          <w:rFonts w:hint="eastAsia"/>
        </w:rPr>
        <w:t>（取引所取引業務の許可）</w:t>
      </w:r>
    </w:p>
    <w:p w:rsidR="000A3F63" w:rsidRDefault="000A3F63" w:rsidP="000A3F63">
      <w:pPr>
        <w:ind w:left="178" w:hangingChars="85" w:hanging="178"/>
        <w:rPr>
          <w:rFonts w:hint="eastAsia"/>
        </w:rPr>
      </w:pPr>
      <w:r>
        <w:rPr>
          <w:rFonts w:hint="eastAsia"/>
        </w:rPr>
        <w:t>第六十条　外国証券業者は、第二十九条及び第五十八条の二の規定にかかわらず、内閣総理大臣の許可を受けて、金融商品取引所における有価証券の売買及び市場デリバティブ取引（有価証券等清算取次ぎ（第二条第二十七項第一号に係るものに限る。以下この項において同じ。）の委託者として当該有価証券等清算取次ぎを行う者を代理してこれらの取引を行う場合を含む。以下「取引所取引」という。）を業として行うこと（以下この款におい</w:t>
      </w:r>
      <w:r>
        <w:rPr>
          <w:rFonts w:hint="eastAsia"/>
        </w:rPr>
        <w:lastRenderedPageBreak/>
        <w:t>て「取引所取引業務」という。）ができる。</w:t>
      </w:r>
    </w:p>
    <w:p w:rsidR="000A3F63" w:rsidRDefault="000A3F63" w:rsidP="000A3F63">
      <w:pPr>
        <w:ind w:left="178" w:hangingChars="85" w:hanging="178"/>
        <w:rPr>
          <w:rFonts w:hint="eastAsia"/>
        </w:rPr>
      </w:pPr>
      <w:r>
        <w:rPr>
          <w:rFonts w:hint="eastAsia"/>
        </w:rPr>
        <w:t>２　内閣総理大臣は、前項の許可に条件を付することができる。</w:t>
      </w:r>
    </w:p>
    <w:p w:rsidR="000A3F63" w:rsidRDefault="000A3F63" w:rsidP="000A3F63">
      <w:pPr>
        <w:ind w:left="178" w:hangingChars="85" w:hanging="178"/>
        <w:rPr>
          <w:rFonts w:hint="eastAsia"/>
        </w:rPr>
      </w:pPr>
      <w:r>
        <w:rPr>
          <w:rFonts w:hint="eastAsia"/>
        </w:rPr>
        <w:t>３　前項の条件は、公益又は投資者保護のため必要な最小限度のものでなければならない。</w:t>
      </w:r>
    </w:p>
    <w:p w:rsidR="000A3F63" w:rsidRDefault="000A3F63" w:rsidP="000A3F63">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0A3F63" w:rsidRPr="000A3F63" w:rsidRDefault="000A3F63" w:rsidP="000A3F63">
      <w:pPr>
        <w:ind w:left="178" w:hangingChars="85" w:hanging="178"/>
      </w:pPr>
    </w:p>
    <w:p w:rsidR="000A3F63" w:rsidRDefault="000A3F63" w:rsidP="000A3F63">
      <w:pPr>
        <w:ind w:left="178" w:hangingChars="85" w:hanging="178"/>
      </w:pPr>
      <w:r>
        <w:rPr>
          <w:rFonts w:hint="eastAsia"/>
        </w:rPr>
        <w:t>（改正前）</w:t>
      </w:r>
    </w:p>
    <w:p w:rsidR="000A3F63" w:rsidRDefault="000A3F63" w:rsidP="000A3F63">
      <w:pPr>
        <w:rPr>
          <w:u w:val="single" w:color="FF0000"/>
        </w:rPr>
      </w:pPr>
      <w:r>
        <w:rPr>
          <w:rFonts w:hint="eastAsia"/>
          <w:u w:val="single" w:color="FF0000"/>
        </w:rPr>
        <w:t>（新設）</w:t>
      </w:r>
    </w:p>
    <w:p w:rsidR="001E71AE" w:rsidRPr="000A3F63" w:rsidRDefault="001E71AE" w:rsidP="001E71AE">
      <w:pPr>
        <w:ind w:left="178" w:hangingChars="85" w:hanging="178"/>
        <w:rPr>
          <w:rFonts w:hint="eastAsia"/>
          <w:u w:color="FF0000"/>
        </w:rPr>
      </w:pPr>
    </w:p>
    <w:sectPr w:rsidR="001E71AE" w:rsidRPr="000A3F6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D03" w:rsidRDefault="00CE6D03">
      <w:r>
        <w:separator/>
      </w:r>
    </w:p>
  </w:endnote>
  <w:endnote w:type="continuationSeparator" w:id="0">
    <w:p w:rsidR="00CE6D03" w:rsidRDefault="00CE6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D6899">
      <w:rPr>
        <w:rStyle w:val="a4"/>
        <w:noProof/>
      </w:rPr>
      <w:t>1</w:t>
    </w:r>
    <w:r>
      <w:rPr>
        <w:rStyle w:val="a4"/>
      </w:rPr>
      <w:fldChar w:fldCharType="end"/>
    </w:r>
  </w:p>
  <w:p w:rsidR="00BB6331" w:rsidRPr="00B35D82" w:rsidRDefault="00B35D82" w:rsidP="00B35D82">
    <w:pPr>
      <w:pStyle w:val="a3"/>
      <w:ind w:right="360"/>
    </w:pPr>
    <w:r>
      <w:rPr>
        <w:rFonts w:ascii="Times New Roman" w:hAnsi="Times New Roman" w:hint="eastAsia"/>
        <w:noProof/>
        <w:kern w:val="0"/>
        <w:szCs w:val="21"/>
      </w:rPr>
      <w:t xml:space="preserve">金融商品取引法　</w:t>
    </w:r>
    <w:r w:rsidRPr="00B35D82">
      <w:rPr>
        <w:rFonts w:ascii="Times New Roman" w:hAnsi="Times New Roman"/>
        <w:noProof/>
        <w:kern w:val="0"/>
        <w:szCs w:val="21"/>
      </w:rPr>
      <w:fldChar w:fldCharType="begin"/>
    </w:r>
    <w:r w:rsidRPr="00B35D8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w:t>
    </w:r>
    <w:r>
      <w:rPr>
        <w:rFonts w:ascii="Times New Roman" w:hAnsi="Times New Roman" w:hint="eastAsia"/>
        <w:noProof/>
        <w:kern w:val="0"/>
        <w:szCs w:val="21"/>
      </w:rPr>
      <w:t>.doc</w:t>
    </w:r>
    <w:r w:rsidRPr="00B35D8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D03" w:rsidRDefault="00CE6D03">
      <w:r>
        <w:separator/>
      </w:r>
    </w:p>
  </w:footnote>
  <w:footnote w:type="continuationSeparator" w:id="0">
    <w:p w:rsidR="00CE6D03" w:rsidRDefault="00CE6D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FD6"/>
    <w:rsid w:val="000A3F63"/>
    <w:rsid w:val="000B1B7B"/>
    <w:rsid w:val="0017761F"/>
    <w:rsid w:val="001E71AE"/>
    <w:rsid w:val="00267862"/>
    <w:rsid w:val="00287BCD"/>
    <w:rsid w:val="00382D93"/>
    <w:rsid w:val="003D3181"/>
    <w:rsid w:val="003D6899"/>
    <w:rsid w:val="003E7FEA"/>
    <w:rsid w:val="004B143D"/>
    <w:rsid w:val="0064783F"/>
    <w:rsid w:val="007A29E6"/>
    <w:rsid w:val="00812693"/>
    <w:rsid w:val="00863E9C"/>
    <w:rsid w:val="008C5E69"/>
    <w:rsid w:val="008D662F"/>
    <w:rsid w:val="00A8517A"/>
    <w:rsid w:val="00B277D2"/>
    <w:rsid w:val="00B35D82"/>
    <w:rsid w:val="00B7420E"/>
    <w:rsid w:val="00BB6331"/>
    <w:rsid w:val="00CE6D03"/>
    <w:rsid w:val="00E71CA4"/>
    <w:rsid w:val="00F0694C"/>
    <w:rsid w:val="00F213D6"/>
    <w:rsid w:val="00F2572F"/>
    <w:rsid w:val="00FF03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F6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D31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8054">
      <w:bodyDiv w:val="1"/>
      <w:marLeft w:val="0"/>
      <w:marRight w:val="0"/>
      <w:marTop w:val="0"/>
      <w:marBottom w:val="0"/>
      <w:divBdr>
        <w:top w:val="none" w:sz="0" w:space="0" w:color="auto"/>
        <w:left w:val="none" w:sz="0" w:space="0" w:color="auto"/>
        <w:bottom w:val="none" w:sz="0" w:space="0" w:color="auto"/>
        <w:right w:val="none" w:sz="0" w:space="0" w:color="auto"/>
      </w:divBdr>
    </w:div>
    <w:div w:id="105127792">
      <w:bodyDiv w:val="1"/>
      <w:marLeft w:val="0"/>
      <w:marRight w:val="0"/>
      <w:marTop w:val="0"/>
      <w:marBottom w:val="0"/>
      <w:divBdr>
        <w:top w:val="none" w:sz="0" w:space="0" w:color="auto"/>
        <w:left w:val="none" w:sz="0" w:space="0" w:color="auto"/>
        <w:bottom w:val="none" w:sz="0" w:space="0" w:color="auto"/>
        <w:right w:val="none" w:sz="0" w:space="0" w:color="auto"/>
      </w:divBdr>
    </w:div>
    <w:div w:id="149030412">
      <w:bodyDiv w:val="1"/>
      <w:marLeft w:val="0"/>
      <w:marRight w:val="0"/>
      <w:marTop w:val="0"/>
      <w:marBottom w:val="0"/>
      <w:divBdr>
        <w:top w:val="none" w:sz="0" w:space="0" w:color="auto"/>
        <w:left w:val="none" w:sz="0" w:space="0" w:color="auto"/>
        <w:bottom w:val="none" w:sz="0" w:space="0" w:color="auto"/>
        <w:right w:val="none" w:sz="0" w:space="0" w:color="auto"/>
      </w:divBdr>
    </w:div>
    <w:div w:id="578370083">
      <w:bodyDiv w:val="1"/>
      <w:marLeft w:val="0"/>
      <w:marRight w:val="0"/>
      <w:marTop w:val="0"/>
      <w:marBottom w:val="0"/>
      <w:divBdr>
        <w:top w:val="none" w:sz="0" w:space="0" w:color="auto"/>
        <w:left w:val="none" w:sz="0" w:space="0" w:color="auto"/>
        <w:bottom w:val="none" w:sz="0" w:space="0" w:color="auto"/>
        <w:right w:val="none" w:sz="0" w:space="0" w:color="auto"/>
      </w:divBdr>
    </w:div>
    <w:div w:id="794181733">
      <w:bodyDiv w:val="1"/>
      <w:marLeft w:val="0"/>
      <w:marRight w:val="0"/>
      <w:marTop w:val="0"/>
      <w:marBottom w:val="0"/>
      <w:divBdr>
        <w:top w:val="none" w:sz="0" w:space="0" w:color="auto"/>
        <w:left w:val="none" w:sz="0" w:space="0" w:color="auto"/>
        <w:bottom w:val="none" w:sz="0" w:space="0" w:color="auto"/>
        <w:right w:val="none" w:sz="0" w:space="0" w:color="auto"/>
      </w:divBdr>
    </w:div>
    <w:div w:id="866648173">
      <w:bodyDiv w:val="1"/>
      <w:marLeft w:val="0"/>
      <w:marRight w:val="0"/>
      <w:marTop w:val="0"/>
      <w:marBottom w:val="0"/>
      <w:divBdr>
        <w:top w:val="none" w:sz="0" w:space="0" w:color="auto"/>
        <w:left w:val="none" w:sz="0" w:space="0" w:color="auto"/>
        <w:bottom w:val="none" w:sz="0" w:space="0" w:color="auto"/>
        <w:right w:val="none" w:sz="0" w:space="0" w:color="auto"/>
      </w:divBdr>
    </w:div>
    <w:div w:id="1121727096">
      <w:bodyDiv w:val="1"/>
      <w:marLeft w:val="0"/>
      <w:marRight w:val="0"/>
      <w:marTop w:val="0"/>
      <w:marBottom w:val="0"/>
      <w:divBdr>
        <w:top w:val="none" w:sz="0" w:space="0" w:color="auto"/>
        <w:left w:val="none" w:sz="0" w:space="0" w:color="auto"/>
        <w:bottom w:val="none" w:sz="0" w:space="0" w:color="auto"/>
        <w:right w:val="none" w:sz="0" w:space="0" w:color="auto"/>
      </w:divBdr>
    </w:div>
    <w:div w:id="1157720859">
      <w:bodyDiv w:val="1"/>
      <w:marLeft w:val="0"/>
      <w:marRight w:val="0"/>
      <w:marTop w:val="0"/>
      <w:marBottom w:val="0"/>
      <w:divBdr>
        <w:top w:val="none" w:sz="0" w:space="0" w:color="auto"/>
        <w:left w:val="none" w:sz="0" w:space="0" w:color="auto"/>
        <w:bottom w:val="none" w:sz="0" w:space="0" w:color="auto"/>
        <w:right w:val="none" w:sz="0" w:space="0" w:color="auto"/>
      </w:divBdr>
    </w:div>
    <w:div w:id="1633975844">
      <w:bodyDiv w:val="1"/>
      <w:marLeft w:val="0"/>
      <w:marRight w:val="0"/>
      <w:marTop w:val="0"/>
      <w:marBottom w:val="0"/>
      <w:divBdr>
        <w:top w:val="none" w:sz="0" w:space="0" w:color="auto"/>
        <w:left w:val="none" w:sz="0" w:space="0" w:color="auto"/>
        <w:bottom w:val="none" w:sz="0" w:space="0" w:color="auto"/>
        <w:right w:val="none" w:sz="0" w:space="0" w:color="auto"/>
      </w:divBdr>
    </w:div>
    <w:div w:id="1764957492">
      <w:bodyDiv w:val="1"/>
      <w:marLeft w:val="0"/>
      <w:marRight w:val="0"/>
      <w:marTop w:val="0"/>
      <w:marBottom w:val="0"/>
      <w:divBdr>
        <w:top w:val="none" w:sz="0" w:space="0" w:color="auto"/>
        <w:left w:val="none" w:sz="0" w:space="0" w:color="auto"/>
        <w:bottom w:val="none" w:sz="0" w:space="0" w:color="auto"/>
        <w:right w:val="none" w:sz="0" w:space="0" w:color="auto"/>
      </w:divBdr>
    </w:div>
    <w:div w:id="1889684985">
      <w:bodyDiv w:val="1"/>
      <w:marLeft w:val="0"/>
      <w:marRight w:val="0"/>
      <w:marTop w:val="0"/>
      <w:marBottom w:val="0"/>
      <w:divBdr>
        <w:top w:val="none" w:sz="0" w:space="0" w:color="auto"/>
        <w:left w:val="none" w:sz="0" w:space="0" w:color="auto"/>
        <w:bottom w:val="none" w:sz="0" w:space="0" w:color="auto"/>
        <w:right w:val="none" w:sz="0" w:space="0" w:color="auto"/>
      </w:divBdr>
    </w:div>
    <w:div w:id="199721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2024-06-27T04:35:00Z</dcterms:created>
  <dcterms:modified xsi:type="dcterms:W3CDTF">2024-06-27T04:35:00Z</dcterms:modified>
</cp:coreProperties>
</file>