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543" w:rsidRDefault="00CB0543" w:rsidP="00CB054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B0543" w:rsidRDefault="00BB6331" w:rsidP="00BB6331">
      <w:pPr>
        <w:rPr>
          <w:rFonts w:hint="eastAsia"/>
        </w:rPr>
      </w:pPr>
    </w:p>
    <w:p w:rsidR="002C6E3A" w:rsidRDefault="002C6E3A" w:rsidP="00CB0543">
      <w:pPr>
        <w:ind w:leftChars="85" w:left="178"/>
        <w:rPr>
          <w:rFonts w:hint="eastAsia"/>
        </w:rPr>
      </w:pPr>
      <w:r>
        <w:rPr>
          <w:rFonts w:hint="eastAsia"/>
        </w:rPr>
        <w:t>（上場の承認）</w:t>
      </w:r>
    </w:p>
    <w:p w:rsidR="002C6E3A" w:rsidRDefault="002C6E3A" w:rsidP="00CB0543">
      <w:pPr>
        <w:ind w:left="179" w:hangingChars="85" w:hanging="179"/>
        <w:rPr>
          <w:rFonts w:hint="eastAsia"/>
        </w:rPr>
      </w:pPr>
      <w:r w:rsidRPr="00CB0543">
        <w:rPr>
          <w:rFonts w:hint="eastAsia"/>
          <w:b/>
        </w:rPr>
        <w:t>第百二十二条</w:t>
      </w:r>
      <w:r>
        <w:rPr>
          <w:rFonts w:hint="eastAsia"/>
        </w:rPr>
        <w:t xml:space="preserve">　金融商品取引所は、当該金融商品取引所が発行者である有価証券をその売買のため、又は当該有価証券、当該有価証券に係る金融指標若しくは当該有価証券に係るオプションを市場デリバティブ取引のために取引所金融商品市場その他政令で定める市場（当該金融商品取引所（その子会社である金融商品取引所を含む。）及び当該金融商品取引所の総株主の議決権の百分の五十を超える対象議決権を保有する金融商品取引所が開設する取引所金融商品市場を除く。）に上場しようとするときは、その上場しようとする取引所金融商品市場その他政令で定める市場ごとに、その上場について、内閣総理大臣の承認を受けなければならない。ただし、第百二十五条の規定による命令に基づき上場する場合は、この限りでない。</w:t>
      </w:r>
    </w:p>
    <w:p w:rsidR="00BB6331" w:rsidRDefault="002C6E3A" w:rsidP="00484634">
      <w:pPr>
        <w:ind w:left="178" w:hangingChars="85" w:hanging="178"/>
        <w:rPr>
          <w:rFonts w:hint="eastAsia"/>
        </w:rPr>
      </w:pPr>
      <w:r>
        <w:rPr>
          <w:rFonts w:hint="eastAsia"/>
        </w:rPr>
        <w:t>２　内閣総理大臣は、前項の承認の申請があつた場合においては、当該申請に係る上場が当該金融商品取引所又はその子会社である金融商品取引所の業務の健全かつ適切な運営を損なうおそれがあると認めるときは、同項の承認をしてはならない。</w:t>
      </w:r>
    </w:p>
    <w:p w:rsidR="00641E16" w:rsidRDefault="00641E16" w:rsidP="00BB6331">
      <w:pPr>
        <w:rPr>
          <w:rFonts w:hint="eastAsia"/>
        </w:rPr>
      </w:pPr>
    </w:p>
    <w:p w:rsidR="00641E16" w:rsidRDefault="00641E16" w:rsidP="00BB6331">
      <w:pPr>
        <w:rPr>
          <w:rFonts w:hint="eastAsia"/>
        </w:rPr>
      </w:pPr>
    </w:p>
    <w:p w:rsidR="00CB0543" w:rsidRDefault="00CB0543" w:rsidP="00CB054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B0543" w:rsidRDefault="00CB0543" w:rsidP="00CB054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D710E">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710E">
        <w:rPr>
          <w:rFonts w:hint="eastAsia"/>
        </w:rPr>
        <w:t>（改正なし）</w:t>
      </w:r>
    </w:p>
    <w:p w:rsidR="00BB1FFE" w:rsidRDefault="00BB1FFE" w:rsidP="00BB1FF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84634">
        <w:tab/>
      </w:r>
      <w:r w:rsidR="00484634">
        <w:rPr>
          <w:rFonts w:hint="eastAsia"/>
        </w:rPr>
        <w:t>（改正なし）</w:t>
      </w:r>
    </w:p>
    <w:p w:rsidR="00BB1FFE" w:rsidRDefault="00BB6331" w:rsidP="00BB1FF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B1FFE" w:rsidRDefault="00BB1FFE" w:rsidP="00BB1FFE"/>
    <w:p w:rsidR="00BB1FFE" w:rsidRDefault="00BB1FFE" w:rsidP="00BB1FFE">
      <w:r>
        <w:rPr>
          <w:rFonts w:hint="eastAsia"/>
        </w:rPr>
        <w:t>（改正後）</w:t>
      </w:r>
    </w:p>
    <w:p w:rsidR="00DD710E" w:rsidRDefault="00DD710E" w:rsidP="00DD710E">
      <w:pPr>
        <w:rPr>
          <w:rFonts w:hint="eastAsia"/>
        </w:rPr>
      </w:pPr>
      <w:r>
        <w:rPr>
          <w:rFonts w:hint="eastAsia"/>
        </w:rPr>
        <w:t>（上場の承認）</w:t>
      </w:r>
    </w:p>
    <w:p w:rsidR="00BB1FFE" w:rsidRDefault="00BB1FFE" w:rsidP="00BB1FFE">
      <w:pPr>
        <w:ind w:left="178" w:hangingChars="85" w:hanging="178"/>
        <w:rPr>
          <w:rFonts w:hint="eastAsia"/>
        </w:rPr>
      </w:pPr>
      <w:r>
        <w:rPr>
          <w:rFonts w:hint="eastAsia"/>
        </w:rPr>
        <w:t>第百二十二条　金融商品取引所は、当該金融商品取引所が発行者である有価証券をその売買のため、又は当該有価証券、当該有価証券に係る金融指標若しくは当該有価証券に係るオプションを市場デリバティブ取引のために取引所金融商品市場その他政令で定める市</w:t>
      </w:r>
      <w:r>
        <w:rPr>
          <w:rFonts w:hint="eastAsia"/>
        </w:rPr>
        <w:lastRenderedPageBreak/>
        <w:t>場（当該金融商品取引所（その子会社である金融商品取引所を含む。）及び当該金融商品取引所の総株主の議決権の百分の五十を超える対象議決権を保有する金融商品取引所が開設する取引所金融商品市場を除く。）に上場しようとするときは、その上場しようとする取引所金融商品市場その他政令で定める市場ごとに、その上場について、内閣総理大臣の承認を受けなければならない。ただし、第百二十五条の規定による命令に基づき上場する場合は、この限りでない。</w:t>
      </w:r>
    </w:p>
    <w:p w:rsidR="00BB1FFE" w:rsidRDefault="00BB1FFE" w:rsidP="00BB1FFE">
      <w:pPr>
        <w:ind w:left="178" w:hangingChars="85" w:hanging="178"/>
        <w:rPr>
          <w:rFonts w:hint="eastAsia"/>
        </w:rPr>
      </w:pPr>
      <w:r>
        <w:rPr>
          <w:rFonts w:hint="eastAsia"/>
        </w:rPr>
        <w:t>２　内閣総理大臣は、前項の承認の申請があつた場合においては、当該申請に係る上場が当該金融商品取引所又はその子会社である金融商品取引所の業務の健全かつ適切な運営を損なうおそれがあると認めるときは、同項の承認をしてはならない。</w:t>
      </w:r>
    </w:p>
    <w:p w:rsidR="00BB1FFE" w:rsidRPr="00BB1FFE" w:rsidRDefault="00BB1FFE" w:rsidP="00BB1FFE">
      <w:pPr>
        <w:ind w:left="178" w:hangingChars="85" w:hanging="178"/>
      </w:pPr>
    </w:p>
    <w:p w:rsidR="00BB1FFE" w:rsidRDefault="00BB1FFE" w:rsidP="00BB1FFE">
      <w:pPr>
        <w:ind w:left="178" w:hangingChars="85" w:hanging="178"/>
      </w:pPr>
      <w:r>
        <w:rPr>
          <w:rFonts w:hint="eastAsia"/>
        </w:rPr>
        <w:t>（改正前）</w:t>
      </w:r>
    </w:p>
    <w:p w:rsidR="00BB1FFE" w:rsidRDefault="00BB1FFE" w:rsidP="00BB1FFE">
      <w:pPr>
        <w:rPr>
          <w:u w:val="single" w:color="FF0000"/>
        </w:rPr>
      </w:pPr>
      <w:r>
        <w:rPr>
          <w:rFonts w:hint="eastAsia"/>
          <w:u w:val="single" w:color="FF0000"/>
        </w:rPr>
        <w:t>（新設）</w:t>
      </w:r>
    </w:p>
    <w:p w:rsidR="00BB1FFE" w:rsidRDefault="00BB1FFE" w:rsidP="00BB1FFE"/>
    <w:sectPr w:rsidR="00BB1F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D85" w:rsidRDefault="00FD7D85">
      <w:r>
        <w:separator/>
      </w:r>
    </w:p>
  </w:endnote>
  <w:endnote w:type="continuationSeparator" w:id="0">
    <w:p w:rsidR="00FD7D85" w:rsidRDefault="00FD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1A01">
      <w:rPr>
        <w:rStyle w:val="a4"/>
        <w:noProof/>
      </w:rPr>
      <w:t>1</w:t>
    </w:r>
    <w:r>
      <w:rPr>
        <w:rStyle w:val="a4"/>
      </w:rPr>
      <w:fldChar w:fldCharType="end"/>
    </w:r>
  </w:p>
  <w:p w:rsidR="00BB6331" w:rsidRPr="00CB0543" w:rsidRDefault="00CB0543" w:rsidP="00CB0543">
    <w:pPr>
      <w:pStyle w:val="a3"/>
      <w:ind w:right="360"/>
    </w:pPr>
    <w:r>
      <w:rPr>
        <w:rFonts w:ascii="Times New Roman" w:hAnsi="Times New Roman" w:hint="eastAsia"/>
        <w:noProof/>
        <w:kern w:val="0"/>
        <w:szCs w:val="21"/>
      </w:rPr>
      <w:t xml:space="preserve">金融商品取引法　</w:t>
    </w:r>
    <w:r w:rsidRPr="00CB0543">
      <w:rPr>
        <w:rFonts w:ascii="Times New Roman" w:hAnsi="Times New Roman"/>
        <w:noProof/>
        <w:kern w:val="0"/>
        <w:szCs w:val="21"/>
      </w:rPr>
      <w:fldChar w:fldCharType="begin"/>
    </w:r>
    <w:r w:rsidRPr="00CB054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122</w:t>
    </w:r>
    <w:r>
      <w:rPr>
        <w:rFonts w:ascii="Times New Roman" w:hAnsi="Times New Roman" w:hint="eastAsia"/>
        <w:noProof/>
        <w:kern w:val="0"/>
        <w:szCs w:val="21"/>
      </w:rPr>
      <w:t>条</w:t>
    </w:r>
    <w:r>
      <w:rPr>
        <w:rFonts w:ascii="Times New Roman" w:hAnsi="Times New Roman" w:hint="eastAsia"/>
        <w:noProof/>
        <w:kern w:val="0"/>
        <w:szCs w:val="21"/>
      </w:rPr>
      <w:t>.doc</w:t>
    </w:r>
    <w:r w:rsidRPr="00CB054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D85" w:rsidRDefault="00FD7D85">
      <w:r>
        <w:separator/>
      </w:r>
    </w:p>
  </w:footnote>
  <w:footnote w:type="continuationSeparator" w:id="0">
    <w:p w:rsidR="00FD7D85" w:rsidRDefault="00FD7D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811"/>
    <w:rsid w:val="000B0E2C"/>
    <w:rsid w:val="001E4BC7"/>
    <w:rsid w:val="002C6E3A"/>
    <w:rsid w:val="00324424"/>
    <w:rsid w:val="00484634"/>
    <w:rsid w:val="004A36B5"/>
    <w:rsid w:val="00641E16"/>
    <w:rsid w:val="007D76EA"/>
    <w:rsid w:val="008812A3"/>
    <w:rsid w:val="00B10F1D"/>
    <w:rsid w:val="00B6135C"/>
    <w:rsid w:val="00BB1FFE"/>
    <w:rsid w:val="00BB6331"/>
    <w:rsid w:val="00CB0543"/>
    <w:rsid w:val="00CB12BE"/>
    <w:rsid w:val="00CB5E56"/>
    <w:rsid w:val="00CC1A01"/>
    <w:rsid w:val="00DC724E"/>
    <w:rsid w:val="00DD710E"/>
    <w:rsid w:val="00DE62B3"/>
    <w:rsid w:val="00EC1A2D"/>
    <w:rsid w:val="00FD7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10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8463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866">
      <w:bodyDiv w:val="1"/>
      <w:marLeft w:val="0"/>
      <w:marRight w:val="0"/>
      <w:marTop w:val="0"/>
      <w:marBottom w:val="0"/>
      <w:divBdr>
        <w:top w:val="none" w:sz="0" w:space="0" w:color="auto"/>
        <w:left w:val="none" w:sz="0" w:space="0" w:color="auto"/>
        <w:bottom w:val="none" w:sz="0" w:space="0" w:color="auto"/>
        <w:right w:val="none" w:sz="0" w:space="0" w:color="auto"/>
      </w:divBdr>
    </w:div>
    <w:div w:id="192614873">
      <w:bodyDiv w:val="1"/>
      <w:marLeft w:val="0"/>
      <w:marRight w:val="0"/>
      <w:marTop w:val="0"/>
      <w:marBottom w:val="0"/>
      <w:divBdr>
        <w:top w:val="none" w:sz="0" w:space="0" w:color="auto"/>
        <w:left w:val="none" w:sz="0" w:space="0" w:color="auto"/>
        <w:bottom w:val="none" w:sz="0" w:space="0" w:color="auto"/>
        <w:right w:val="none" w:sz="0" w:space="0" w:color="auto"/>
      </w:divBdr>
    </w:div>
    <w:div w:id="199713157">
      <w:bodyDiv w:val="1"/>
      <w:marLeft w:val="0"/>
      <w:marRight w:val="0"/>
      <w:marTop w:val="0"/>
      <w:marBottom w:val="0"/>
      <w:divBdr>
        <w:top w:val="none" w:sz="0" w:space="0" w:color="auto"/>
        <w:left w:val="none" w:sz="0" w:space="0" w:color="auto"/>
        <w:bottom w:val="none" w:sz="0" w:space="0" w:color="auto"/>
        <w:right w:val="none" w:sz="0" w:space="0" w:color="auto"/>
      </w:divBdr>
    </w:div>
    <w:div w:id="287207002">
      <w:bodyDiv w:val="1"/>
      <w:marLeft w:val="0"/>
      <w:marRight w:val="0"/>
      <w:marTop w:val="0"/>
      <w:marBottom w:val="0"/>
      <w:divBdr>
        <w:top w:val="none" w:sz="0" w:space="0" w:color="auto"/>
        <w:left w:val="none" w:sz="0" w:space="0" w:color="auto"/>
        <w:bottom w:val="none" w:sz="0" w:space="0" w:color="auto"/>
        <w:right w:val="none" w:sz="0" w:space="0" w:color="auto"/>
      </w:divBdr>
    </w:div>
    <w:div w:id="680550099">
      <w:bodyDiv w:val="1"/>
      <w:marLeft w:val="0"/>
      <w:marRight w:val="0"/>
      <w:marTop w:val="0"/>
      <w:marBottom w:val="0"/>
      <w:divBdr>
        <w:top w:val="none" w:sz="0" w:space="0" w:color="auto"/>
        <w:left w:val="none" w:sz="0" w:space="0" w:color="auto"/>
        <w:bottom w:val="none" w:sz="0" w:space="0" w:color="auto"/>
        <w:right w:val="none" w:sz="0" w:space="0" w:color="auto"/>
      </w:divBdr>
    </w:div>
    <w:div w:id="705175570">
      <w:bodyDiv w:val="1"/>
      <w:marLeft w:val="0"/>
      <w:marRight w:val="0"/>
      <w:marTop w:val="0"/>
      <w:marBottom w:val="0"/>
      <w:divBdr>
        <w:top w:val="none" w:sz="0" w:space="0" w:color="auto"/>
        <w:left w:val="none" w:sz="0" w:space="0" w:color="auto"/>
        <w:bottom w:val="none" w:sz="0" w:space="0" w:color="auto"/>
        <w:right w:val="none" w:sz="0" w:space="0" w:color="auto"/>
      </w:divBdr>
    </w:div>
    <w:div w:id="1133913386">
      <w:bodyDiv w:val="1"/>
      <w:marLeft w:val="0"/>
      <w:marRight w:val="0"/>
      <w:marTop w:val="0"/>
      <w:marBottom w:val="0"/>
      <w:divBdr>
        <w:top w:val="none" w:sz="0" w:space="0" w:color="auto"/>
        <w:left w:val="none" w:sz="0" w:space="0" w:color="auto"/>
        <w:bottom w:val="none" w:sz="0" w:space="0" w:color="auto"/>
        <w:right w:val="none" w:sz="0" w:space="0" w:color="auto"/>
      </w:divBdr>
    </w:div>
    <w:div w:id="1349410306">
      <w:bodyDiv w:val="1"/>
      <w:marLeft w:val="0"/>
      <w:marRight w:val="0"/>
      <w:marTop w:val="0"/>
      <w:marBottom w:val="0"/>
      <w:divBdr>
        <w:top w:val="none" w:sz="0" w:space="0" w:color="auto"/>
        <w:left w:val="none" w:sz="0" w:space="0" w:color="auto"/>
        <w:bottom w:val="none" w:sz="0" w:space="0" w:color="auto"/>
        <w:right w:val="none" w:sz="0" w:space="0" w:color="auto"/>
      </w:divBdr>
    </w:div>
    <w:div w:id="1656911254">
      <w:bodyDiv w:val="1"/>
      <w:marLeft w:val="0"/>
      <w:marRight w:val="0"/>
      <w:marTop w:val="0"/>
      <w:marBottom w:val="0"/>
      <w:divBdr>
        <w:top w:val="none" w:sz="0" w:space="0" w:color="auto"/>
        <w:left w:val="none" w:sz="0" w:space="0" w:color="auto"/>
        <w:bottom w:val="none" w:sz="0" w:space="0" w:color="auto"/>
        <w:right w:val="none" w:sz="0" w:space="0" w:color="auto"/>
      </w:divBdr>
    </w:div>
    <w:div w:id="1807312278">
      <w:bodyDiv w:val="1"/>
      <w:marLeft w:val="0"/>
      <w:marRight w:val="0"/>
      <w:marTop w:val="0"/>
      <w:marBottom w:val="0"/>
      <w:divBdr>
        <w:top w:val="none" w:sz="0" w:space="0" w:color="auto"/>
        <w:left w:val="none" w:sz="0" w:space="0" w:color="auto"/>
        <w:bottom w:val="none" w:sz="0" w:space="0" w:color="auto"/>
        <w:right w:val="none" w:sz="0" w:space="0" w:color="auto"/>
      </w:divBdr>
    </w:div>
    <w:div w:id="209257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金融商品取引法第122条</vt:lpstr>
      <vt:lpstr>金融商品取引法第122条</vt:lpstr>
    </vt:vector>
  </TitlesOfParts>
  <Manager/>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金融商品取引法第122条</dc:title>
  <dc:subject/>
  <dc:creator/>
  <cp:keywords/>
  <dc:description/>
  <cp:lastModifiedBy/>
  <cp:revision>1</cp:revision>
  <dcterms:created xsi:type="dcterms:W3CDTF">2024-07-03T05:59:00Z</dcterms:created>
  <dcterms:modified xsi:type="dcterms:W3CDTF">2024-07-03T05:59:00Z</dcterms:modified>
</cp:coreProperties>
</file>