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6BE" w:rsidRDefault="00CD56BE" w:rsidP="00CD56B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D56BE" w:rsidRDefault="00BB6331" w:rsidP="00BB6331">
      <w:pPr>
        <w:rPr>
          <w:rFonts w:hint="eastAsia"/>
        </w:rPr>
      </w:pPr>
    </w:p>
    <w:p w:rsidR="00641E16" w:rsidRPr="00CE5B43" w:rsidRDefault="00CE5B43" w:rsidP="00CD56BE">
      <w:pPr>
        <w:ind w:left="179" w:hangingChars="85" w:hanging="179"/>
        <w:rPr>
          <w:rFonts w:hint="eastAsia"/>
        </w:rPr>
      </w:pPr>
      <w:r w:rsidRPr="00CD56BE">
        <w:rPr>
          <w:rFonts w:hint="eastAsia"/>
          <w:b/>
        </w:rPr>
        <w:t>第百九十九条</w:t>
      </w:r>
      <w:r w:rsidRPr="00CE5B43">
        <w:rPr>
          <w:rFonts w:hint="eastAsia"/>
        </w:rPr>
        <w:t xml:space="preserve">　第七十五条、第七十九条の四、第百六条の二十七、第百五十一条（第百五十三条の四において準用する場合を含む。）、第百五十五条の九、第百五十六条の十五又は第百五十六条の三十四の規定による報告若しくは資料を提出せず、又は虚偽の報告若しくは資料を提出した場合においては、その行為をした認可金融商品取引業協会若しくは第七十八条第二項に規定する</w:t>
      </w:r>
      <w:r w:rsidR="00C61842" w:rsidRPr="00C61842">
        <w:rPr>
          <w:rFonts w:hint="eastAsia"/>
        </w:rPr>
        <w:t>認定金融商品取引業協会</w:t>
      </w:r>
      <w:r w:rsidRPr="00CE5B43">
        <w:rPr>
          <w:rFonts w:hint="eastAsia"/>
        </w:rPr>
        <w:t>、金融商品取引所、第八十五条第一項に規定する自主規制法人、金融商品取引所持株会社、外国金融商品取引所、金融商品取引清算機関、証券金融会社、金融商品取引所の子会社（第八十七条の三第二項に規定する子会社をいう。）、金融商品取引所持株会社の子会社（第百六条の十第一項に規定する子会社をいう。）、金融商品取引所に上場されている有価証券若しくは店頭売買有価証券の発行者又は外国金融商品取引所の外国金融商品取引所参加者の代表者、代理人、使用人その他の従業者若しくは業務の委託を受けた者は、一年以下の懲役若しくは三百万円以下の罰金に処し、又はこれを併科する。</w:t>
      </w:r>
    </w:p>
    <w:p w:rsidR="003571F9" w:rsidRDefault="003571F9" w:rsidP="00BB6331">
      <w:pPr>
        <w:rPr>
          <w:rFonts w:hint="eastAsia"/>
        </w:rPr>
      </w:pPr>
    </w:p>
    <w:p w:rsidR="00641E16" w:rsidRDefault="00641E16" w:rsidP="00BB6331">
      <w:pPr>
        <w:rPr>
          <w:rFonts w:hint="eastAsia"/>
        </w:rPr>
      </w:pPr>
    </w:p>
    <w:p w:rsidR="00CD56BE" w:rsidRDefault="00CD56BE" w:rsidP="00CD56B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D56BE" w:rsidRDefault="00CD56BE" w:rsidP="00CD56B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525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3525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525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525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525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525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5252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52527">
        <w:rPr>
          <w:rFonts w:hint="eastAsia"/>
        </w:rPr>
        <w:t>（改正なし）</w:t>
      </w:r>
    </w:p>
    <w:p w:rsidR="00AD5DCA" w:rsidRDefault="00AD5DCA" w:rsidP="00AD5DC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E3F24">
        <w:tab/>
      </w:r>
      <w:r w:rsidR="001E3F2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B48CE" w:rsidRDefault="007B48CE" w:rsidP="007B48CE"/>
    <w:p w:rsidR="001E3F24" w:rsidRDefault="001E3F24" w:rsidP="001E3F24">
      <w:r>
        <w:rPr>
          <w:rFonts w:hint="eastAsia"/>
        </w:rPr>
        <w:t>（改正後）</w:t>
      </w:r>
    </w:p>
    <w:p w:rsidR="00AD5DCA" w:rsidRDefault="00AD5DCA" w:rsidP="00AD5DCA">
      <w:pPr>
        <w:ind w:left="178" w:hangingChars="85" w:hanging="178"/>
        <w:rPr>
          <w:rFonts w:hint="eastAsia"/>
        </w:rPr>
      </w:pPr>
      <w:r>
        <w:rPr>
          <w:rFonts w:hint="eastAsia"/>
        </w:rPr>
        <w:t xml:space="preserve">第百九十九条　</w:t>
      </w:r>
      <w:r w:rsidRPr="00AD5DCA">
        <w:rPr>
          <w:rFonts w:hint="eastAsia"/>
          <w:u w:val="single" w:color="FF0000"/>
        </w:rPr>
        <w:t>第七十五条、第七十九条の四</w:t>
      </w:r>
      <w:r>
        <w:rPr>
          <w:rFonts w:hint="eastAsia"/>
        </w:rPr>
        <w:t>、第百六条の二十七、</w:t>
      </w:r>
      <w:r w:rsidRPr="00AD5DCA">
        <w:rPr>
          <w:rFonts w:hint="eastAsia"/>
          <w:u w:val="single" w:color="FF0000"/>
        </w:rPr>
        <w:t>第百五十一条（第百五十三条の四において準用する場合を含む。）</w:t>
      </w:r>
      <w:r>
        <w:rPr>
          <w:rFonts w:hint="eastAsia"/>
        </w:rPr>
        <w:t>、第百五十五条の九、第百五十六条の十五又は第百五十六条の三十四の規定による報告若しくは資料を提出せず、又は虚偽の報告若しくは資料を提出した場合においては、その行為をした</w:t>
      </w:r>
      <w:r w:rsidRPr="00AD5DCA">
        <w:rPr>
          <w:rFonts w:hint="eastAsia"/>
          <w:u w:val="single" w:color="FF0000"/>
        </w:rPr>
        <w:t>認可金融商品取引業協会若しくは第七十八条第二項に規定する</w:t>
      </w:r>
      <w:r w:rsidR="00C61842" w:rsidRPr="00C61842">
        <w:rPr>
          <w:rFonts w:hint="eastAsia"/>
          <w:u w:val="double" w:color="FF0000"/>
        </w:rPr>
        <w:t>認定金融商品取引業協会</w:t>
      </w:r>
      <w:r w:rsidRPr="00AD5DCA">
        <w:rPr>
          <w:rFonts w:hint="eastAsia"/>
          <w:u w:val="single" w:color="FF0000"/>
        </w:rPr>
        <w:t>、金融商品取引所、第八十五条第一項に規</w:t>
      </w:r>
      <w:r w:rsidRPr="00AD5DCA">
        <w:rPr>
          <w:rFonts w:hint="eastAsia"/>
          <w:u w:val="single" w:color="FF0000"/>
        </w:rPr>
        <w:lastRenderedPageBreak/>
        <w:t>定する自主規制法人、金融商品取引所持株会社、外国金融商品取引所、金融商品取引清算機関、証券金融会社、金融商品取引所の子会社（第八十七条の三第二項に規定する子会社をいう。）、金融商品取引所持株会社の子会社（第百六条の十第一項に規定する子会社をいう。）、金融商品取引所</w:t>
      </w:r>
      <w:r>
        <w:rPr>
          <w:rFonts w:hint="eastAsia"/>
        </w:rPr>
        <w:t>に上場されている有価証券若しくは店頭売買有価証券の発行者又は</w:t>
      </w:r>
      <w:r w:rsidRPr="00AD5DCA">
        <w:rPr>
          <w:rFonts w:hint="eastAsia"/>
          <w:u w:val="single" w:color="FF0000"/>
        </w:rPr>
        <w:t>外国金融商品取引所の外国金融商品取引所参加者</w:t>
      </w:r>
      <w:r>
        <w:rPr>
          <w:rFonts w:hint="eastAsia"/>
        </w:rPr>
        <w:t>の代表者、代理人、使用人その他の従業者若しくは業務の委託を受けた者は、一年以下の懲役若しくは三百万円以下の罰金に処し、又はこれを併科する。</w:t>
      </w:r>
    </w:p>
    <w:p w:rsidR="001E3F24" w:rsidRPr="00AD5DCA" w:rsidRDefault="001E3F24" w:rsidP="001E3F24">
      <w:pPr>
        <w:ind w:left="178" w:hangingChars="85" w:hanging="178"/>
      </w:pPr>
    </w:p>
    <w:p w:rsidR="001E3F24" w:rsidRDefault="001E3F24" w:rsidP="001E3F24">
      <w:pPr>
        <w:ind w:left="178" w:hangingChars="85" w:hanging="178"/>
      </w:pPr>
      <w:r>
        <w:rPr>
          <w:rFonts w:hint="eastAsia"/>
        </w:rPr>
        <w:t>（改正前）</w:t>
      </w:r>
    </w:p>
    <w:p w:rsidR="00AD5DCA" w:rsidRPr="00500D70" w:rsidRDefault="00AD5DCA" w:rsidP="00AD5DCA">
      <w:pPr>
        <w:ind w:left="178" w:hangingChars="85" w:hanging="178"/>
      </w:pPr>
      <w:r>
        <w:rPr>
          <w:rFonts w:hint="eastAsia"/>
        </w:rPr>
        <w:t xml:space="preserve">第百九十九条　</w:t>
      </w:r>
      <w:r w:rsidRPr="00AD5DCA">
        <w:rPr>
          <w:rFonts w:hint="eastAsia"/>
          <w:u w:val="single" w:color="FF0000"/>
        </w:rPr>
        <w:t>第七十九条の十四</w:t>
      </w:r>
      <w:r w:rsidRPr="00E41BA2">
        <w:rPr>
          <w:rFonts w:hint="eastAsia"/>
        </w:rPr>
        <w:t>、</w:t>
      </w:r>
      <w:r w:rsidRPr="00AD5DCA">
        <w:rPr>
          <w:rFonts w:hint="eastAsia"/>
        </w:rPr>
        <w:t>第百六条の二十七、</w:t>
      </w:r>
      <w:r w:rsidRPr="00AD5DCA">
        <w:rPr>
          <w:rFonts w:hint="eastAsia"/>
          <w:u w:val="single" w:color="FF0000"/>
        </w:rPr>
        <w:t>第百五十一条</w:t>
      </w:r>
      <w:r w:rsidRPr="00AD5DCA">
        <w:rPr>
          <w:rFonts w:hint="eastAsia"/>
        </w:rPr>
        <w:t>、第百五十五条の九、第百五十六条の十五又は第百五十六条の三十四の規定による報告若しくは資料を提出せず、又は虚偽の報告若しくは資料を提出した場合においては、その行為をした</w:t>
      </w:r>
      <w:r w:rsidRPr="00AD5DCA">
        <w:rPr>
          <w:rFonts w:hint="eastAsia"/>
          <w:u w:val="single" w:color="FF0000"/>
        </w:rPr>
        <w:t>証券業協会、証券取引所、証券取引所持株会社、外国証券取引所、証券取引清算機関、証券金融会社又は証券金融会社、証券取引所の子会社（第八十七条の二の二第二項に規定する子会社をいう。）、証券取引所持株会社の子会社（第百三条第四項に規定する子会社をいう。）、証券取引所</w:t>
      </w:r>
      <w:r w:rsidRPr="00AD5DCA">
        <w:rPr>
          <w:rFonts w:hint="eastAsia"/>
        </w:rPr>
        <w:t>に上場されている有価証券若しくは店頭売買有価証券の発行者又は</w:t>
      </w:r>
      <w:r w:rsidRPr="00AD5DCA">
        <w:rPr>
          <w:rFonts w:hint="eastAsia"/>
          <w:u w:val="single" w:color="FF0000"/>
        </w:rPr>
        <w:t>外国証券取引所の外国証券取引所参加者</w:t>
      </w:r>
      <w:r w:rsidRPr="00AD5DCA">
        <w:rPr>
          <w:rFonts w:hint="eastAsia"/>
        </w:rPr>
        <w:t>の代表</w:t>
      </w:r>
      <w:r w:rsidRPr="00500D70">
        <w:rPr>
          <w:rFonts w:hint="eastAsia"/>
        </w:rPr>
        <w:t>者、代理人、使用人その他の従業者は、一年以下の懲役若しくは三百万円以下の罰金に処し、又はこれを併科する。</w:t>
      </w:r>
    </w:p>
    <w:p w:rsidR="001E3F24" w:rsidRPr="00AD5DCA" w:rsidRDefault="001E3F24" w:rsidP="001E3F24">
      <w:pPr>
        <w:rPr>
          <w:rFonts w:hint="eastAsia"/>
        </w:rPr>
      </w:pPr>
    </w:p>
    <w:p w:rsidR="001E3F24" w:rsidRDefault="001E3F24" w:rsidP="001E3F24">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AD5DCA">
        <w:tab/>
      </w:r>
      <w:r w:rsidR="00AD5DC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AD5DCA">
        <w:tab/>
      </w:r>
      <w:r w:rsidR="00AD5DC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AD5DCA">
        <w:tab/>
      </w:r>
      <w:r w:rsidR="00AD5DC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AD5DCA">
        <w:tab/>
      </w:r>
      <w:r w:rsidR="00AD5DC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AD5DCA">
        <w:tab/>
      </w:r>
      <w:r w:rsidR="00AD5DC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AD5DCA">
        <w:tab/>
      </w:r>
      <w:r w:rsidR="00AD5DC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AD5DCA">
        <w:tab/>
      </w:r>
      <w:r w:rsidR="00AD5DC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AD5DCA">
        <w:tab/>
      </w:r>
      <w:r w:rsidR="00AD5DC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AD5DCA">
        <w:tab/>
      </w:r>
      <w:r w:rsidR="00AD5DC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AD5DCA">
        <w:tab/>
      </w:r>
      <w:r w:rsidR="00AD5DC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AD5DCA">
        <w:tab/>
      </w:r>
      <w:r w:rsidR="00AD5DC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AD5DCA">
        <w:tab/>
      </w:r>
      <w:r w:rsidR="00AD5DC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AD5DCA">
        <w:tab/>
      </w:r>
      <w:r w:rsidR="00AD5DC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AD5DCA">
        <w:tab/>
      </w:r>
      <w:r w:rsidR="00AD5DC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AD5DCA">
        <w:tab/>
      </w:r>
      <w:r w:rsidR="00AD5DC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AD5DCA">
        <w:tab/>
      </w:r>
      <w:r w:rsidR="00AD5DCA">
        <w:rPr>
          <w:rFonts w:hint="eastAsia"/>
        </w:rPr>
        <w:t>（改正なし）</w:t>
      </w:r>
    </w:p>
    <w:p w:rsidR="00500D70" w:rsidRDefault="00BB6331" w:rsidP="00500D70">
      <w:r>
        <w:rPr>
          <w:rFonts w:hint="eastAsia"/>
        </w:rPr>
        <w:lastRenderedPageBreak/>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500D70" w:rsidRDefault="00500D70" w:rsidP="00500D70"/>
    <w:p w:rsidR="00500D70" w:rsidRDefault="00500D70" w:rsidP="00500D70">
      <w:r>
        <w:rPr>
          <w:rFonts w:hint="eastAsia"/>
        </w:rPr>
        <w:t>（改正後）</w:t>
      </w:r>
    </w:p>
    <w:p w:rsidR="00500D70" w:rsidRPr="00500D70" w:rsidRDefault="00500D70" w:rsidP="00500D70">
      <w:pPr>
        <w:ind w:left="178" w:hangingChars="85" w:hanging="178"/>
      </w:pPr>
      <w:r>
        <w:rPr>
          <w:rFonts w:hint="eastAsia"/>
        </w:rPr>
        <w:t xml:space="preserve">第百九十九条　</w:t>
      </w:r>
      <w:r w:rsidRPr="00E41BA2">
        <w:rPr>
          <w:rFonts w:hint="eastAsia"/>
        </w:rPr>
        <w:t>第七十九条の十四、</w:t>
      </w:r>
      <w:r w:rsidRPr="009F55A3">
        <w:rPr>
          <w:rFonts w:hint="eastAsia"/>
          <w:u w:val="single" w:color="FF0000"/>
        </w:rPr>
        <w:t>第百六条の二十七、第百五十一条、第百五十五条の九</w:t>
      </w:r>
      <w:r w:rsidRPr="00500D70">
        <w:rPr>
          <w:rFonts w:hint="eastAsia"/>
        </w:rPr>
        <w:t>、第百五十六条の十五又は第百五十六条の三十四の規定による報告若しくは資料を提出せず、又は虚偽の報告若しくは資料を提出した場合においては、その行為をした証券業協会</w:t>
      </w:r>
      <w:r w:rsidRPr="00500D70">
        <w:rPr>
          <w:rFonts w:hint="eastAsia"/>
          <w:u w:val="single" w:color="FF0000"/>
        </w:rPr>
        <w:t>、証券取引所</w:t>
      </w:r>
      <w:r w:rsidRPr="009F55A3">
        <w:rPr>
          <w:rFonts w:hint="eastAsia"/>
          <w:u w:val="single" w:color="FF0000"/>
        </w:rPr>
        <w:t>、証券取引所持株会社、外国証券取引所</w:t>
      </w:r>
      <w:r w:rsidRPr="00500D70">
        <w:rPr>
          <w:rFonts w:hint="eastAsia"/>
        </w:rPr>
        <w:t>、証券取引清算機関、</w:t>
      </w:r>
      <w:r w:rsidRPr="00500D70">
        <w:rPr>
          <w:rFonts w:hint="eastAsia"/>
          <w:u w:val="single" w:color="FF0000"/>
        </w:rPr>
        <w:t>証券金融会社又は</w:t>
      </w:r>
      <w:r w:rsidRPr="009F55A3">
        <w:rPr>
          <w:rFonts w:hint="eastAsia"/>
          <w:u w:val="single" w:color="FF0000"/>
        </w:rPr>
        <w:t>証券金融会社、証券取引所の子会社（第八十七条の二の二第二項に規定する子会社をいう。）、証券取引所持株会社の子会社（第百三条第四項に規定する子会社をいう。）、</w:t>
      </w:r>
      <w:r w:rsidRPr="00500D70">
        <w:rPr>
          <w:rFonts w:hint="eastAsia"/>
        </w:rPr>
        <w:t>証券取引所に上場されている有価証券若しくは店頭売買有価証券の</w:t>
      </w:r>
      <w:r w:rsidRPr="00500D70">
        <w:rPr>
          <w:rFonts w:hint="eastAsia"/>
          <w:u w:val="single" w:color="FF0000"/>
        </w:rPr>
        <w:t>発行者</w:t>
      </w:r>
      <w:r w:rsidRPr="009F55A3">
        <w:rPr>
          <w:rFonts w:hint="eastAsia"/>
          <w:u w:val="single" w:color="FF0000"/>
        </w:rPr>
        <w:t>又は外国証券取引所の外国証券取引所参加者</w:t>
      </w:r>
      <w:r w:rsidRPr="00500D70">
        <w:rPr>
          <w:rFonts w:hint="eastAsia"/>
        </w:rPr>
        <w:t>の代表者、代理人、使用人その他の従業者は、一年以下の懲役若しくは三百万円以下の罰金に処し、又はこれを併科する。</w:t>
      </w:r>
    </w:p>
    <w:p w:rsidR="00500D70" w:rsidRPr="00500D70" w:rsidRDefault="00500D70" w:rsidP="00500D70">
      <w:pPr>
        <w:ind w:left="178" w:hangingChars="85" w:hanging="178"/>
      </w:pPr>
    </w:p>
    <w:p w:rsidR="00500D70" w:rsidRPr="00500D70" w:rsidRDefault="00500D70" w:rsidP="00500D70">
      <w:pPr>
        <w:ind w:left="178" w:hangingChars="85" w:hanging="178"/>
      </w:pPr>
      <w:r w:rsidRPr="00500D70">
        <w:rPr>
          <w:rFonts w:hint="eastAsia"/>
        </w:rPr>
        <w:t>（改正前）</w:t>
      </w:r>
    </w:p>
    <w:p w:rsidR="00500D70" w:rsidRPr="00500D70" w:rsidRDefault="00500D70" w:rsidP="00500D70">
      <w:pPr>
        <w:ind w:left="178" w:hangingChars="85" w:hanging="178"/>
      </w:pPr>
      <w:r w:rsidRPr="00500D70">
        <w:rPr>
          <w:rFonts w:hint="eastAsia"/>
        </w:rPr>
        <w:t>第百九十九条　第七十九条の十四、</w:t>
      </w:r>
      <w:r w:rsidRPr="00500D70">
        <w:rPr>
          <w:rFonts w:hint="eastAsia"/>
          <w:u w:val="single" w:color="FF0000"/>
        </w:rPr>
        <w:t>第百五十四条</w:t>
      </w:r>
      <w:r w:rsidRPr="00500D70">
        <w:rPr>
          <w:rFonts w:hint="eastAsia"/>
        </w:rPr>
        <w:t>、第百五十六条の十五又は第百五十六条の三十四の規定による報告若しくは資料を提出せず、又は虚偽の報告若しくは資料を提出した場合においては、その行為をした証券業協会</w:t>
      </w:r>
      <w:r w:rsidRPr="00500D70">
        <w:rPr>
          <w:rFonts w:hint="eastAsia"/>
          <w:u w:val="single" w:color="FF0000"/>
        </w:rPr>
        <w:t>、証券取引所</w:t>
      </w:r>
      <w:r w:rsidRPr="00500D70">
        <w:rPr>
          <w:rFonts w:hint="eastAsia"/>
        </w:rPr>
        <w:t>、証券取引清算機関、</w:t>
      </w:r>
      <w:r w:rsidRPr="00500D70">
        <w:rPr>
          <w:rFonts w:hint="eastAsia"/>
          <w:u w:val="single" w:color="FF0000"/>
        </w:rPr>
        <w:t>証券金融会社又は</w:t>
      </w:r>
      <w:r w:rsidRPr="00500D70">
        <w:rPr>
          <w:rFonts w:hint="eastAsia"/>
        </w:rPr>
        <w:t>証券取引所に上場されている有価証券若しくは店頭売買有価証券の</w:t>
      </w:r>
      <w:r w:rsidRPr="00500D70">
        <w:rPr>
          <w:rFonts w:hint="eastAsia"/>
          <w:u w:val="single" w:color="FF0000"/>
        </w:rPr>
        <w:t>発行者</w:t>
      </w:r>
      <w:r w:rsidRPr="00500D70">
        <w:rPr>
          <w:rFonts w:hint="eastAsia"/>
        </w:rPr>
        <w:t>の代表者、代理人、使用人その他の従業者は、一年以下の懲役若しくは三百万円以下の罰金に処し、又はこれを併科する。</w:t>
      </w:r>
    </w:p>
    <w:p w:rsidR="00500D70" w:rsidRDefault="00500D70" w:rsidP="00500D70"/>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500D70">
        <w:tab/>
      </w:r>
      <w:r w:rsidR="00500D7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500D70">
        <w:tab/>
      </w:r>
      <w:r w:rsidR="00500D70">
        <w:rPr>
          <w:rFonts w:hint="eastAsia"/>
        </w:rPr>
        <w:t>（改正なし）</w:t>
      </w:r>
    </w:p>
    <w:p w:rsidR="00AB7099" w:rsidRDefault="00BB6331" w:rsidP="00AB7099">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AB7099" w:rsidRDefault="00AB7099" w:rsidP="00AB7099"/>
    <w:p w:rsidR="00AB7099" w:rsidRDefault="00AB7099" w:rsidP="00AB7099">
      <w:r>
        <w:rPr>
          <w:rFonts w:hint="eastAsia"/>
        </w:rPr>
        <w:t>（改正後）</w:t>
      </w:r>
    </w:p>
    <w:p w:rsidR="00AB7099" w:rsidRPr="007879B6" w:rsidRDefault="00AB7099" w:rsidP="00AB7099">
      <w:pPr>
        <w:ind w:left="178" w:hangingChars="85" w:hanging="178"/>
      </w:pPr>
      <w:r>
        <w:rPr>
          <w:rFonts w:hint="eastAsia"/>
        </w:rPr>
        <w:t xml:space="preserve">第百九十九条　</w:t>
      </w:r>
      <w:r w:rsidRPr="00E41BA2">
        <w:rPr>
          <w:rFonts w:hint="eastAsia"/>
        </w:rPr>
        <w:t>第七十九条の十四、第百五十四条</w:t>
      </w:r>
      <w:r w:rsidRPr="003335AD">
        <w:rPr>
          <w:rFonts w:hint="eastAsia"/>
          <w:u w:val="single" w:color="FF0000"/>
        </w:rPr>
        <w:t>、第百五十六条の十五又は第百五十六条の三十四</w:t>
      </w:r>
      <w:r w:rsidRPr="00E41BA2">
        <w:rPr>
          <w:rFonts w:hint="eastAsia"/>
        </w:rPr>
        <w:t>の規定による報告若しくは資料を提出せず、又は虚偽の報告若しくは資料を提出した場合においては、その行為をした証券業協会</w:t>
      </w:r>
      <w:r w:rsidRPr="00AB7099">
        <w:rPr>
          <w:rFonts w:hint="eastAsia"/>
          <w:u w:val="single" w:color="FF0000"/>
        </w:rPr>
        <w:t>、証券取引所</w:t>
      </w:r>
      <w:r w:rsidRPr="003335AD">
        <w:rPr>
          <w:rFonts w:hint="eastAsia"/>
          <w:u w:val="single" w:color="FF0000"/>
        </w:rPr>
        <w:t>、証券取引清算機関</w:t>
      </w:r>
      <w:r w:rsidRPr="00E41BA2">
        <w:rPr>
          <w:rFonts w:hint="eastAsia"/>
        </w:rPr>
        <w:t>、証券金融会社又は証券取引所に上場されている</w:t>
      </w:r>
      <w:r w:rsidRPr="007879B6">
        <w:rPr>
          <w:rFonts w:hint="eastAsia"/>
        </w:rPr>
        <w:t>有価証券若しくは店頭売買有価証券の発行者の代表者、代理人、使用人その他の従業者は、一年以下の懲役若しくは三百万円以下の罰金に処し、又はこれを併科する。</w:t>
      </w:r>
    </w:p>
    <w:p w:rsidR="00AB7099" w:rsidRDefault="00AB7099" w:rsidP="00AB7099">
      <w:pPr>
        <w:ind w:left="178" w:hangingChars="85" w:hanging="178"/>
      </w:pPr>
    </w:p>
    <w:p w:rsidR="00AB7099" w:rsidRDefault="00AB7099" w:rsidP="00AB7099">
      <w:pPr>
        <w:ind w:left="178" w:hangingChars="85" w:hanging="178"/>
      </w:pPr>
      <w:r>
        <w:rPr>
          <w:rFonts w:hint="eastAsia"/>
        </w:rPr>
        <w:t>（改正前）</w:t>
      </w:r>
    </w:p>
    <w:p w:rsidR="00AB7099" w:rsidRPr="007879B6" w:rsidRDefault="00AB7099" w:rsidP="00AB7099">
      <w:pPr>
        <w:ind w:left="178" w:hangingChars="85" w:hanging="178"/>
      </w:pPr>
      <w:r>
        <w:rPr>
          <w:rFonts w:hint="eastAsia"/>
        </w:rPr>
        <w:t xml:space="preserve">第百九十九条　</w:t>
      </w:r>
      <w:r w:rsidRPr="00E41BA2">
        <w:rPr>
          <w:rFonts w:hint="eastAsia"/>
        </w:rPr>
        <w:t>第七十九条の十四、第百五十四条</w:t>
      </w:r>
      <w:r w:rsidRPr="00AB7099">
        <w:rPr>
          <w:rFonts w:hint="eastAsia"/>
          <w:u w:val="single" w:color="FF0000"/>
        </w:rPr>
        <w:t>又は第百五十六条の十三</w:t>
      </w:r>
      <w:r w:rsidRPr="00E41BA2">
        <w:rPr>
          <w:rFonts w:hint="eastAsia"/>
        </w:rPr>
        <w:t>の規定による報</w:t>
      </w:r>
      <w:r w:rsidRPr="00E41BA2">
        <w:rPr>
          <w:rFonts w:hint="eastAsia"/>
        </w:rPr>
        <w:lastRenderedPageBreak/>
        <w:t>告若しくは資料を提出せず、又は虚偽の報告若しくは資料を提出した場合においては、その行為をした証券業協会</w:t>
      </w:r>
      <w:r w:rsidRPr="00AB7099">
        <w:rPr>
          <w:rFonts w:hint="eastAsia"/>
          <w:u w:val="single" w:color="FF0000"/>
        </w:rPr>
        <w:t>、証券取引所</w:t>
      </w:r>
      <w:r w:rsidRPr="00E41BA2">
        <w:rPr>
          <w:rFonts w:hint="eastAsia"/>
        </w:rPr>
        <w:t>、証券金融会社又は証券取引所に上場されている</w:t>
      </w:r>
      <w:r w:rsidRPr="007879B6">
        <w:rPr>
          <w:rFonts w:hint="eastAsia"/>
        </w:rPr>
        <w:t>有価証券若しくは店頭売買有価証券の発行者の代表者、代理人、使用人その他の従業者は、一年以下の懲役若しくは三百万円以下の罰金に処し、又はこれを併科する。</w:t>
      </w:r>
    </w:p>
    <w:p w:rsidR="00AB7099" w:rsidRDefault="00AB7099" w:rsidP="00AB7099"/>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AB7099">
        <w:tab/>
      </w:r>
      <w:r w:rsidR="00AB709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AB7099">
        <w:tab/>
      </w:r>
      <w:r w:rsidR="00AB709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AB7099">
        <w:tab/>
      </w:r>
      <w:r w:rsidR="00AB709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AB7099">
        <w:tab/>
      </w:r>
      <w:r w:rsidR="00AB709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AB7099">
        <w:tab/>
      </w:r>
      <w:r w:rsidR="00AB709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AB7099">
        <w:tab/>
      </w:r>
      <w:r w:rsidR="00AB709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AB7099">
        <w:tab/>
      </w:r>
      <w:r w:rsidR="00AB709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AB7099">
        <w:tab/>
      </w:r>
      <w:r w:rsidR="00AB709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AB7099">
        <w:tab/>
      </w:r>
      <w:r w:rsidR="00AB709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AB7099">
        <w:tab/>
      </w:r>
      <w:r w:rsidR="00AB709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AB7099">
        <w:tab/>
      </w:r>
      <w:r w:rsidR="00AB709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AB7099">
        <w:tab/>
      </w:r>
      <w:r w:rsidR="00AB709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AB7099">
        <w:tab/>
      </w:r>
      <w:r w:rsidR="00AB709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AB7099">
        <w:tab/>
      </w:r>
      <w:r w:rsidR="00AB7099">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AB7099">
        <w:tab/>
      </w:r>
      <w:r w:rsidR="00AB7099">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7879B6" w:rsidRDefault="007879B6" w:rsidP="007879B6"/>
    <w:p w:rsidR="007879B6" w:rsidRPr="00352527" w:rsidRDefault="007879B6" w:rsidP="007879B6">
      <w:pPr>
        <w:rPr>
          <w:u w:color="FF0000"/>
        </w:rPr>
      </w:pPr>
      <w:r>
        <w:rPr>
          <w:rFonts w:hint="eastAsia"/>
        </w:rPr>
        <w:t>（改</w:t>
      </w:r>
      <w:r w:rsidRPr="00352527">
        <w:rPr>
          <w:rFonts w:hint="eastAsia"/>
          <w:u w:color="FF0000"/>
        </w:rPr>
        <w:t>正後）</w:t>
      </w:r>
    </w:p>
    <w:p w:rsidR="007879B6" w:rsidRPr="00352527" w:rsidRDefault="007879B6" w:rsidP="007879B6">
      <w:pPr>
        <w:ind w:left="178" w:hangingChars="85" w:hanging="178"/>
        <w:rPr>
          <w:u w:color="FF0000"/>
        </w:rPr>
      </w:pPr>
      <w:r w:rsidRPr="00352527">
        <w:rPr>
          <w:rFonts w:hint="eastAsia"/>
          <w:u w:color="FF0000"/>
        </w:rPr>
        <w:t>第百九十九条　第七十九条の十四、第百五十四条又は</w:t>
      </w:r>
      <w:r w:rsidRPr="00352527">
        <w:rPr>
          <w:rFonts w:hint="eastAsia"/>
          <w:u w:val="single" w:color="FF0000"/>
        </w:rPr>
        <w:t>第百五十六条の十三</w:t>
      </w:r>
      <w:r w:rsidRPr="00352527">
        <w:rPr>
          <w:rFonts w:hint="eastAsia"/>
          <w:u w:color="FF0000"/>
        </w:rPr>
        <w:t>の規定による報告若しくは資料を提出せず、又は虚偽の報告若しくは資料を提出した場合においては、その行為をした証券業協会、証券取引所、証券金融会社又は証券取引所に上場されている有価証券若しくは店頭売買有価証券の発行者の代表者、代理人、使用人その他の従業者は、一年以下の懲役若しくは三百万円以下の罰金に処し、又はこれを併科する。</w:t>
      </w:r>
    </w:p>
    <w:p w:rsidR="007879B6" w:rsidRPr="00352527" w:rsidRDefault="007879B6" w:rsidP="007879B6">
      <w:pPr>
        <w:ind w:left="178" w:hangingChars="85" w:hanging="178"/>
        <w:rPr>
          <w:u w:color="FF0000"/>
        </w:rPr>
      </w:pPr>
    </w:p>
    <w:p w:rsidR="007879B6" w:rsidRPr="00352527" w:rsidRDefault="007879B6" w:rsidP="007879B6">
      <w:pPr>
        <w:ind w:left="178" w:hangingChars="85" w:hanging="178"/>
        <w:rPr>
          <w:u w:color="FF0000"/>
        </w:rPr>
      </w:pPr>
      <w:r w:rsidRPr="00352527">
        <w:rPr>
          <w:rFonts w:hint="eastAsia"/>
          <w:u w:color="FF0000"/>
        </w:rPr>
        <w:t>（改正前）</w:t>
      </w:r>
    </w:p>
    <w:p w:rsidR="007879B6" w:rsidRPr="00352527" w:rsidRDefault="007879B6" w:rsidP="007879B6">
      <w:pPr>
        <w:ind w:left="178" w:hangingChars="85" w:hanging="178"/>
        <w:rPr>
          <w:u w:color="FF0000"/>
        </w:rPr>
      </w:pPr>
      <w:r w:rsidRPr="00352527">
        <w:rPr>
          <w:rFonts w:hint="eastAsia"/>
          <w:u w:color="FF0000"/>
        </w:rPr>
        <w:t>第百九十九条　第七十九条の十四、第百五十四条又は</w:t>
      </w:r>
      <w:r w:rsidRPr="00352527">
        <w:rPr>
          <w:rFonts w:hint="eastAsia"/>
          <w:u w:val="single" w:color="FF0000"/>
        </w:rPr>
        <w:t>第百五十六条の十三第一項</w:t>
      </w:r>
      <w:r w:rsidRPr="00352527">
        <w:rPr>
          <w:rFonts w:hint="eastAsia"/>
          <w:u w:color="FF0000"/>
        </w:rPr>
        <w:t>の規定による報告若しくは資料を提出せず、又は虚偽の報告若しくは資料を提出した場合においては、その行為をした証券業協会、証券取引所、証券金融会社又は証券取引所に上場されている有価証券若しくは店頭売買有価証券の発行者の代表者、代理人、使用人その他の従業者は、一年以下の懲役若しくは三百万円以下の罰金に処し、又はこれを併科する。</w:t>
      </w:r>
    </w:p>
    <w:p w:rsidR="007879B6" w:rsidRPr="00352527" w:rsidRDefault="007879B6" w:rsidP="007879B6">
      <w:pPr>
        <w:rPr>
          <w:u w:color="FF0000"/>
        </w:rPr>
      </w:pPr>
    </w:p>
    <w:p w:rsidR="007879B6" w:rsidRPr="00352527" w:rsidRDefault="007879B6" w:rsidP="00BB6331">
      <w:pPr>
        <w:rPr>
          <w:rFonts w:hint="eastAsia"/>
          <w:u w:color="FF0000"/>
        </w:rPr>
      </w:pPr>
    </w:p>
    <w:p w:rsidR="00BB6331" w:rsidRPr="00352527" w:rsidRDefault="00BB6331" w:rsidP="00BB6331">
      <w:pPr>
        <w:rPr>
          <w:rFonts w:hint="eastAsia"/>
          <w:u w:color="FF0000"/>
        </w:rPr>
      </w:pPr>
      <w:r w:rsidRPr="00352527">
        <w:rPr>
          <w:rFonts w:hint="eastAsia"/>
          <w:u w:color="FF0000"/>
        </w:rPr>
        <w:t>【平成</w:t>
      </w:r>
      <w:r w:rsidRPr="00352527">
        <w:rPr>
          <w:rFonts w:hint="eastAsia"/>
          <w:u w:color="FF0000"/>
        </w:rPr>
        <w:t>11</w:t>
      </w:r>
      <w:r w:rsidRPr="00352527">
        <w:rPr>
          <w:rFonts w:hint="eastAsia"/>
          <w:u w:color="FF0000"/>
        </w:rPr>
        <w:t>年</w:t>
      </w:r>
      <w:r w:rsidRPr="00352527">
        <w:rPr>
          <w:rFonts w:hint="eastAsia"/>
          <w:u w:color="FF0000"/>
        </w:rPr>
        <w:t>12</w:t>
      </w:r>
      <w:r w:rsidRPr="00352527">
        <w:rPr>
          <w:rFonts w:hint="eastAsia"/>
          <w:u w:color="FF0000"/>
        </w:rPr>
        <w:t>月</w:t>
      </w:r>
      <w:r w:rsidRPr="00352527">
        <w:rPr>
          <w:rFonts w:hint="eastAsia"/>
          <w:u w:color="FF0000"/>
        </w:rPr>
        <w:t>8</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151</w:t>
      </w:r>
      <w:r w:rsidRPr="00352527">
        <w:rPr>
          <w:rFonts w:hint="eastAsia"/>
          <w:u w:color="FF0000"/>
        </w:rPr>
        <w:t>号】</w:t>
      </w:r>
      <w:r w:rsidR="007879B6" w:rsidRPr="00352527">
        <w:rPr>
          <w:u w:color="FF0000"/>
        </w:rPr>
        <w:tab/>
      </w:r>
      <w:r w:rsidR="007879B6" w:rsidRPr="00352527">
        <w:rPr>
          <w:rFonts w:hint="eastAsia"/>
          <w:u w:color="FF0000"/>
        </w:rPr>
        <w:t>（改正なし）</w:t>
      </w:r>
    </w:p>
    <w:p w:rsidR="00BB6331" w:rsidRPr="00352527" w:rsidRDefault="00BB6331" w:rsidP="00BB6331">
      <w:pPr>
        <w:rPr>
          <w:rFonts w:hint="eastAsia"/>
          <w:u w:color="FF0000"/>
        </w:rPr>
      </w:pPr>
      <w:r w:rsidRPr="00352527">
        <w:rPr>
          <w:rFonts w:hint="eastAsia"/>
          <w:u w:color="FF0000"/>
        </w:rPr>
        <w:t>【平成</w:t>
      </w:r>
      <w:r w:rsidRPr="00352527">
        <w:rPr>
          <w:rFonts w:hint="eastAsia"/>
          <w:u w:color="FF0000"/>
        </w:rPr>
        <w:t>11</w:t>
      </w:r>
      <w:r w:rsidRPr="00352527">
        <w:rPr>
          <w:rFonts w:hint="eastAsia"/>
          <w:u w:color="FF0000"/>
        </w:rPr>
        <w:t>年</w:t>
      </w:r>
      <w:r w:rsidRPr="00352527">
        <w:rPr>
          <w:rFonts w:hint="eastAsia"/>
          <w:u w:color="FF0000"/>
        </w:rPr>
        <w:t>8</w:t>
      </w:r>
      <w:r w:rsidRPr="00352527">
        <w:rPr>
          <w:rFonts w:hint="eastAsia"/>
          <w:u w:color="FF0000"/>
        </w:rPr>
        <w:t>月</w:t>
      </w:r>
      <w:r w:rsidRPr="00352527">
        <w:rPr>
          <w:rFonts w:hint="eastAsia"/>
          <w:u w:color="FF0000"/>
        </w:rPr>
        <w:t>13</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125</w:t>
      </w:r>
      <w:r w:rsidRPr="00352527">
        <w:rPr>
          <w:rFonts w:hint="eastAsia"/>
          <w:u w:color="FF0000"/>
        </w:rPr>
        <w:t>号】</w:t>
      </w:r>
      <w:r w:rsidR="007879B6" w:rsidRPr="00352527">
        <w:rPr>
          <w:u w:color="FF0000"/>
        </w:rPr>
        <w:tab/>
      </w:r>
      <w:r w:rsidR="007879B6" w:rsidRPr="00352527">
        <w:rPr>
          <w:rFonts w:hint="eastAsia"/>
          <w:u w:color="FF0000"/>
        </w:rPr>
        <w:t>（改正なし）</w:t>
      </w:r>
    </w:p>
    <w:p w:rsidR="00BB6331" w:rsidRPr="00352527" w:rsidRDefault="00BB6331" w:rsidP="00BB6331">
      <w:pPr>
        <w:rPr>
          <w:rFonts w:hint="eastAsia"/>
          <w:u w:color="FF0000"/>
        </w:rPr>
      </w:pPr>
      <w:r w:rsidRPr="00352527">
        <w:rPr>
          <w:rFonts w:hint="eastAsia"/>
          <w:u w:color="FF0000"/>
        </w:rPr>
        <w:t>【平成</w:t>
      </w:r>
      <w:r w:rsidRPr="00352527">
        <w:rPr>
          <w:rFonts w:hint="eastAsia"/>
          <w:u w:color="FF0000"/>
        </w:rPr>
        <w:t>11</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23</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80</w:t>
      </w:r>
      <w:r w:rsidRPr="00352527">
        <w:rPr>
          <w:rFonts w:hint="eastAsia"/>
          <w:u w:color="FF0000"/>
        </w:rPr>
        <w:t>号】</w:t>
      </w:r>
      <w:r w:rsidR="007879B6" w:rsidRPr="00352527">
        <w:rPr>
          <w:u w:color="FF0000"/>
        </w:rPr>
        <w:tab/>
      </w:r>
      <w:r w:rsidR="007879B6" w:rsidRPr="00352527">
        <w:rPr>
          <w:rFonts w:hint="eastAsia"/>
          <w:u w:color="FF0000"/>
        </w:rPr>
        <w:t>（改正なし）</w:t>
      </w:r>
    </w:p>
    <w:p w:rsidR="00BB6331" w:rsidRPr="00352527" w:rsidRDefault="00BB6331" w:rsidP="00BB6331">
      <w:pPr>
        <w:rPr>
          <w:rFonts w:hint="eastAsia"/>
          <w:u w:color="FF0000"/>
        </w:rPr>
      </w:pPr>
      <w:r w:rsidRPr="00352527">
        <w:rPr>
          <w:rFonts w:hint="eastAsia"/>
          <w:u w:color="FF0000"/>
        </w:rPr>
        <w:t>【平成</w:t>
      </w:r>
      <w:r w:rsidRPr="00352527">
        <w:rPr>
          <w:rFonts w:hint="eastAsia"/>
          <w:u w:color="FF0000"/>
        </w:rPr>
        <w:t>10</w:t>
      </w:r>
      <w:r w:rsidRPr="00352527">
        <w:rPr>
          <w:rFonts w:hint="eastAsia"/>
          <w:u w:color="FF0000"/>
        </w:rPr>
        <w:t>年</w:t>
      </w:r>
      <w:r w:rsidRPr="00352527">
        <w:rPr>
          <w:rFonts w:hint="eastAsia"/>
          <w:u w:color="FF0000"/>
        </w:rPr>
        <w:t>10</w:t>
      </w:r>
      <w:r w:rsidRPr="00352527">
        <w:rPr>
          <w:rFonts w:hint="eastAsia"/>
          <w:u w:color="FF0000"/>
        </w:rPr>
        <w:t>月</w:t>
      </w:r>
      <w:r w:rsidRPr="00352527">
        <w:rPr>
          <w:rFonts w:hint="eastAsia"/>
          <w:u w:color="FF0000"/>
        </w:rPr>
        <w:t>16</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131</w:t>
      </w:r>
      <w:r w:rsidRPr="00352527">
        <w:rPr>
          <w:rFonts w:hint="eastAsia"/>
          <w:u w:color="FF0000"/>
        </w:rPr>
        <w:t>号】</w:t>
      </w:r>
      <w:r w:rsidR="007879B6" w:rsidRPr="00352527">
        <w:rPr>
          <w:u w:color="FF0000"/>
        </w:rPr>
        <w:tab/>
      </w:r>
      <w:r w:rsidR="007879B6" w:rsidRPr="00352527">
        <w:rPr>
          <w:rFonts w:hint="eastAsia"/>
          <w:u w:color="FF0000"/>
        </w:rPr>
        <w:t>（改正なし）</w:t>
      </w:r>
    </w:p>
    <w:p w:rsidR="00BB6331" w:rsidRPr="00352527" w:rsidRDefault="00BB6331" w:rsidP="00BB6331">
      <w:pPr>
        <w:rPr>
          <w:rFonts w:hint="eastAsia"/>
          <w:u w:color="FF0000"/>
        </w:rPr>
      </w:pPr>
      <w:r w:rsidRPr="00352527">
        <w:rPr>
          <w:rFonts w:hint="eastAsia"/>
          <w:u w:color="FF0000"/>
        </w:rPr>
        <w:t>【平成</w:t>
      </w:r>
      <w:r w:rsidRPr="00352527">
        <w:rPr>
          <w:rFonts w:hint="eastAsia"/>
          <w:u w:color="FF0000"/>
        </w:rPr>
        <w:t>10</w:t>
      </w:r>
      <w:r w:rsidRPr="00352527">
        <w:rPr>
          <w:rFonts w:hint="eastAsia"/>
          <w:u w:color="FF0000"/>
        </w:rPr>
        <w:t>年</w:t>
      </w:r>
      <w:r w:rsidRPr="00352527">
        <w:rPr>
          <w:rFonts w:hint="eastAsia"/>
          <w:u w:color="FF0000"/>
        </w:rPr>
        <w:t>10</w:t>
      </w:r>
      <w:r w:rsidRPr="00352527">
        <w:rPr>
          <w:rFonts w:hint="eastAsia"/>
          <w:u w:color="FF0000"/>
        </w:rPr>
        <w:t>月</w:t>
      </w:r>
      <w:r w:rsidRPr="00352527">
        <w:rPr>
          <w:rFonts w:hint="eastAsia"/>
          <w:u w:color="FF0000"/>
        </w:rPr>
        <w:t>13</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118</w:t>
      </w:r>
      <w:r w:rsidRPr="00352527">
        <w:rPr>
          <w:rFonts w:hint="eastAsia"/>
          <w:u w:color="FF0000"/>
        </w:rPr>
        <w:t>号】</w:t>
      </w:r>
      <w:r w:rsidR="007879B6" w:rsidRPr="00352527">
        <w:rPr>
          <w:u w:color="FF0000"/>
        </w:rPr>
        <w:tab/>
      </w:r>
      <w:r w:rsidR="007879B6" w:rsidRPr="00352527">
        <w:rPr>
          <w:rFonts w:hint="eastAsia"/>
          <w:u w:color="FF0000"/>
        </w:rPr>
        <w:t>（改正なし）</w:t>
      </w:r>
    </w:p>
    <w:p w:rsidR="00E41BA2" w:rsidRPr="00352527" w:rsidRDefault="00BB6331" w:rsidP="00E41BA2">
      <w:pPr>
        <w:rPr>
          <w:u w:color="FF0000"/>
        </w:rPr>
      </w:pPr>
      <w:r w:rsidRPr="00352527">
        <w:rPr>
          <w:rFonts w:hint="eastAsia"/>
          <w:u w:color="FF0000"/>
        </w:rPr>
        <w:t>【平成</w:t>
      </w:r>
      <w:r w:rsidRPr="00352527">
        <w:rPr>
          <w:rFonts w:hint="eastAsia"/>
          <w:u w:color="FF0000"/>
        </w:rPr>
        <w:t>10</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15</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107</w:t>
      </w:r>
      <w:r w:rsidRPr="00352527">
        <w:rPr>
          <w:rFonts w:hint="eastAsia"/>
          <w:u w:color="FF0000"/>
        </w:rPr>
        <w:t>号】</w:t>
      </w:r>
    </w:p>
    <w:p w:rsidR="00E41BA2" w:rsidRPr="00352527" w:rsidRDefault="00E41BA2" w:rsidP="00E41BA2">
      <w:pPr>
        <w:rPr>
          <w:u w:color="FF0000"/>
        </w:rPr>
      </w:pPr>
    </w:p>
    <w:p w:rsidR="00E41BA2" w:rsidRPr="00352527" w:rsidRDefault="00E41BA2" w:rsidP="00E41BA2">
      <w:pPr>
        <w:rPr>
          <w:u w:color="FF0000"/>
        </w:rPr>
      </w:pPr>
      <w:r w:rsidRPr="00352527">
        <w:rPr>
          <w:rFonts w:hint="eastAsia"/>
          <w:u w:color="FF0000"/>
        </w:rPr>
        <w:t>（改正後）</w:t>
      </w:r>
    </w:p>
    <w:p w:rsidR="00E41BA2" w:rsidRPr="00352527" w:rsidRDefault="00E41BA2" w:rsidP="00E41BA2">
      <w:pPr>
        <w:ind w:left="178" w:hangingChars="85" w:hanging="178"/>
        <w:rPr>
          <w:u w:color="FF0000"/>
        </w:rPr>
      </w:pPr>
      <w:r w:rsidRPr="00352527">
        <w:rPr>
          <w:rFonts w:hint="eastAsia"/>
          <w:u w:color="FF0000"/>
        </w:rPr>
        <w:t>第百九十九条　第七十九条の十四、第百五十四条又は第百五十六条の十三第一項の規定による報告若しくは資料を提出せず、又は虚偽の報告若しくは資料を提出した場合においては、その行為をした証券業協会、証券取引所、証券金融会社又は証券取引所に上場されている</w:t>
      </w:r>
      <w:r w:rsidRPr="00352527">
        <w:rPr>
          <w:rFonts w:hint="eastAsia"/>
          <w:u w:val="single" w:color="FF0000"/>
        </w:rPr>
        <w:t>有価証券若しくは店頭売買有価証券</w:t>
      </w:r>
      <w:r w:rsidRPr="00352527">
        <w:rPr>
          <w:rFonts w:hint="eastAsia"/>
          <w:u w:color="FF0000"/>
        </w:rPr>
        <w:t>の発行者の代表者、代理人、使用人その他の従業者は、一年以下の懲役若しくは三百万円以下の罰金に処し、又はこれを併科する。</w:t>
      </w:r>
    </w:p>
    <w:p w:rsidR="00E41BA2" w:rsidRPr="00352527" w:rsidRDefault="00E41BA2" w:rsidP="00E41BA2">
      <w:pPr>
        <w:ind w:left="178" w:hangingChars="85" w:hanging="178"/>
        <w:rPr>
          <w:u w:color="FF0000"/>
        </w:rPr>
      </w:pPr>
    </w:p>
    <w:p w:rsidR="00E41BA2" w:rsidRPr="00352527" w:rsidRDefault="00E41BA2" w:rsidP="00E41BA2">
      <w:pPr>
        <w:ind w:left="178" w:hangingChars="85" w:hanging="178"/>
        <w:rPr>
          <w:u w:color="FF0000"/>
        </w:rPr>
      </w:pPr>
      <w:r w:rsidRPr="00352527">
        <w:rPr>
          <w:rFonts w:hint="eastAsia"/>
          <w:u w:color="FF0000"/>
        </w:rPr>
        <w:t>（改正前）</w:t>
      </w:r>
    </w:p>
    <w:p w:rsidR="00E41BA2" w:rsidRPr="00352527" w:rsidRDefault="00E41BA2" w:rsidP="00E41BA2">
      <w:pPr>
        <w:ind w:left="178" w:hangingChars="85" w:hanging="178"/>
        <w:rPr>
          <w:u w:color="FF0000"/>
        </w:rPr>
      </w:pPr>
      <w:r w:rsidRPr="00352527">
        <w:rPr>
          <w:rFonts w:hint="eastAsia"/>
          <w:u w:color="FF0000"/>
        </w:rPr>
        <w:t>第百九十九条　第七十九条の十四、第百五十四条又は第百五十六条の十三第一項の規定による報告若しくは資料を提出せず、又は虚偽の報告若しくは資料を提出した場合においては、その行為をした証券業協会、証券取引所、証券金融会社又は証券取引所に上場されている</w:t>
      </w:r>
      <w:r w:rsidRPr="00352527">
        <w:rPr>
          <w:rFonts w:hint="eastAsia"/>
          <w:u w:val="single" w:color="FF0000"/>
        </w:rPr>
        <w:t>有価証券</w:t>
      </w:r>
      <w:r w:rsidRPr="00352527">
        <w:rPr>
          <w:rFonts w:hint="eastAsia"/>
          <w:u w:color="FF0000"/>
        </w:rPr>
        <w:t>の発行者の代表者、代理人、使用人その他の従業者は、一年以下の懲役若しくは三百万円以下の罰金に処し、又はこれを併科する。</w:t>
      </w:r>
    </w:p>
    <w:p w:rsidR="00E41BA2" w:rsidRPr="00352527" w:rsidRDefault="00E41BA2" w:rsidP="00E41BA2">
      <w:pPr>
        <w:rPr>
          <w:u w:color="FF0000"/>
        </w:rPr>
      </w:pPr>
    </w:p>
    <w:p w:rsidR="00E41BA2" w:rsidRPr="00352527" w:rsidRDefault="00E41BA2" w:rsidP="00E41BA2">
      <w:pPr>
        <w:ind w:left="178" w:hangingChars="85" w:hanging="178"/>
        <w:rPr>
          <w:u w:color="FF0000"/>
        </w:rPr>
      </w:pPr>
    </w:p>
    <w:p w:rsidR="00BB6331" w:rsidRPr="00352527" w:rsidRDefault="00BB6331" w:rsidP="00BB6331">
      <w:pPr>
        <w:rPr>
          <w:rFonts w:hint="eastAsia"/>
          <w:u w:color="FF0000"/>
        </w:rPr>
      </w:pPr>
      <w:r w:rsidRPr="00352527">
        <w:rPr>
          <w:rFonts w:hint="eastAsia"/>
          <w:u w:color="FF0000"/>
        </w:rPr>
        <w:t>【平成</w:t>
      </w:r>
      <w:r w:rsidRPr="00352527">
        <w:rPr>
          <w:rFonts w:hint="eastAsia"/>
          <w:u w:color="FF0000"/>
        </w:rPr>
        <w:t>10</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15</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106</w:t>
      </w:r>
      <w:r w:rsidRPr="00352527">
        <w:rPr>
          <w:rFonts w:hint="eastAsia"/>
          <w:u w:color="FF0000"/>
        </w:rPr>
        <w:t>号】</w:t>
      </w:r>
      <w:r w:rsidR="00E41BA2" w:rsidRPr="00352527">
        <w:rPr>
          <w:u w:color="FF0000"/>
        </w:rPr>
        <w:tab/>
      </w:r>
      <w:r w:rsidR="00E41BA2" w:rsidRPr="00352527">
        <w:rPr>
          <w:rFonts w:hint="eastAsia"/>
          <w:u w:color="FF0000"/>
        </w:rPr>
        <w:t>（改正なし）</w:t>
      </w:r>
    </w:p>
    <w:p w:rsidR="00BB6331" w:rsidRPr="00352527" w:rsidRDefault="00BB6331" w:rsidP="00BB6331">
      <w:pPr>
        <w:rPr>
          <w:rFonts w:hint="eastAsia"/>
          <w:u w:color="FF0000"/>
        </w:rPr>
      </w:pPr>
      <w:r w:rsidRPr="00352527">
        <w:rPr>
          <w:rFonts w:hint="eastAsia"/>
          <w:u w:color="FF0000"/>
        </w:rPr>
        <w:t>【平成</w:t>
      </w:r>
      <w:r w:rsidRPr="00352527">
        <w:rPr>
          <w:rFonts w:hint="eastAsia"/>
          <w:u w:color="FF0000"/>
        </w:rPr>
        <w:t>9</w:t>
      </w:r>
      <w:r w:rsidRPr="00352527">
        <w:rPr>
          <w:rFonts w:hint="eastAsia"/>
          <w:u w:color="FF0000"/>
        </w:rPr>
        <w:t>年</w:t>
      </w:r>
      <w:r w:rsidRPr="00352527">
        <w:rPr>
          <w:rFonts w:hint="eastAsia"/>
          <w:u w:color="FF0000"/>
        </w:rPr>
        <w:t>12</w:t>
      </w:r>
      <w:r w:rsidRPr="00352527">
        <w:rPr>
          <w:rFonts w:hint="eastAsia"/>
          <w:u w:color="FF0000"/>
        </w:rPr>
        <w:t>月</w:t>
      </w:r>
      <w:r w:rsidRPr="00352527">
        <w:rPr>
          <w:rFonts w:hint="eastAsia"/>
          <w:u w:color="FF0000"/>
        </w:rPr>
        <w:t>12</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121</w:t>
      </w:r>
      <w:r w:rsidRPr="00352527">
        <w:rPr>
          <w:rFonts w:hint="eastAsia"/>
          <w:u w:color="FF0000"/>
        </w:rPr>
        <w:t>号】</w:t>
      </w:r>
      <w:r w:rsidR="00E41BA2" w:rsidRPr="00352527">
        <w:rPr>
          <w:u w:color="FF0000"/>
        </w:rPr>
        <w:tab/>
      </w:r>
      <w:r w:rsidR="00E41BA2" w:rsidRPr="00352527">
        <w:rPr>
          <w:rFonts w:hint="eastAsia"/>
          <w:u w:color="FF0000"/>
        </w:rPr>
        <w:t>（改正なし）</w:t>
      </w:r>
    </w:p>
    <w:p w:rsidR="00BB6331" w:rsidRPr="00352527" w:rsidRDefault="00BB6331" w:rsidP="00BB6331">
      <w:pPr>
        <w:rPr>
          <w:rFonts w:hint="eastAsia"/>
          <w:u w:color="FF0000"/>
        </w:rPr>
      </w:pPr>
      <w:r w:rsidRPr="00352527">
        <w:rPr>
          <w:rFonts w:hint="eastAsia"/>
          <w:u w:color="FF0000"/>
        </w:rPr>
        <w:t>【平成</w:t>
      </w:r>
      <w:r w:rsidRPr="00352527">
        <w:rPr>
          <w:rFonts w:hint="eastAsia"/>
          <w:u w:color="FF0000"/>
        </w:rPr>
        <w:t>9</w:t>
      </w:r>
      <w:r w:rsidRPr="00352527">
        <w:rPr>
          <w:rFonts w:hint="eastAsia"/>
          <w:u w:color="FF0000"/>
        </w:rPr>
        <w:t>年</w:t>
      </w:r>
      <w:r w:rsidRPr="00352527">
        <w:rPr>
          <w:rFonts w:hint="eastAsia"/>
          <w:u w:color="FF0000"/>
        </w:rPr>
        <w:t>12</w:t>
      </w:r>
      <w:r w:rsidRPr="00352527">
        <w:rPr>
          <w:rFonts w:hint="eastAsia"/>
          <w:u w:color="FF0000"/>
        </w:rPr>
        <w:t>月</w:t>
      </w:r>
      <w:r w:rsidRPr="00352527">
        <w:rPr>
          <w:rFonts w:hint="eastAsia"/>
          <w:u w:color="FF0000"/>
        </w:rPr>
        <w:t>12</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120</w:t>
      </w:r>
      <w:r w:rsidRPr="00352527">
        <w:rPr>
          <w:rFonts w:hint="eastAsia"/>
          <w:u w:color="FF0000"/>
        </w:rPr>
        <w:t>号】</w:t>
      </w:r>
      <w:r w:rsidR="00E41BA2" w:rsidRPr="00352527">
        <w:rPr>
          <w:u w:color="FF0000"/>
        </w:rPr>
        <w:tab/>
      </w:r>
      <w:r w:rsidR="00E41BA2" w:rsidRPr="00352527">
        <w:rPr>
          <w:rFonts w:hint="eastAsia"/>
          <w:u w:color="FF0000"/>
        </w:rPr>
        <w:t>（改正なし）</w:t>
      </w:r>
    </w:p>
    <w:p w:rsidR="00B33B1F" w:rsidRPr="00352527" w:rsidRDefault="00BB6331" w:rsidP="00B33B1F">
      <w:pPr>
        <w:rPr>
          <w:u w:color="FF0000"/>
        </w:rPr>
      </w:pPr>
      <w:r w:rsidRPr="00352527">
        <w:rPr>
          <w:rFonts w:hint="eastAsia"/>
          <w:u w:color="FF0000"/>
        </w:rPr>
        <w:t>【平成</w:t>
      </w:r>
      <w:r w:rsidRPr="00352527">
        <w:rPr>
          <w:rFonts w:hint="eastAsia"/>
          <w:u w:color="FF0000"/>
        </w:rPr>
        <w:t>9</w:t>
      </w:r>
      <w:r w:rsidRPr="00352527">
        <w:rPr>
          <w:rFonts w:hint="eastAsia"/>
          <w:u w:color="FF0000"/>
        </w:rPr>
        <w:t>年</w:t>
      </w:r>
      <w:r w:rsidRPr="00352527">
        <w:rPr>
          <w:rFonts w:hint="eastAsia"/>
          <w:u w:color="FF0000"/>
        </w:rPr>
        <w:t>12</w:t>
      </w:r>
      <w:r w:rsidRPr="00352527">
        <w:rPr>
          <w:rFonts w:hint="eastAsia"/>
          <w:u w:color="FF0000"/>
        </w:rPr>
        <w:t>月</w:t>
      </w:r>
      <w:r w:rsidRPr="00352527">
        <w:rPr>
          <w:rFonts w:hint="eastAsia"/>
          <w:u w:color="FF0000"/>
        </w:rPr>
        <w:t>10</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117</w:t>
      </w:r>
      <w:r w:rsidRPr="00352527">
        <w:rPr>
          <w:rFonts w:hint="eastAsia"/>
          <w:u w:color="FF0000"/>
        </w:rPr>
        <w:t>号】</w:t>
      </w:r>
    </w:p>
    <w:p w:rsidR="00B33B1F" w:rsidRPr="00352527" w:rsidRDefault="00B33B1F" w:rsidP="00B33B1F">
      <w:pPr>
        <w:rPr>
          <w:u w:color="FF0000"/>
        </w:rPr>
      </w:pPr>
    </w:p>
    <w:p w:rsidR="00B33B1F" w:rsidRPr="00352527" w:rsidRDefault="00B33B1F" w:rsidP="00B33B1F">
      <w:pPr>
        <w:rPr>
          <w:u w:color="FF0000"/>
        </w:rPr>
      </w:pPr>
      <w:r w:rsidRPr="00352527">
        <w:rPr>
          <w:rFonts w:hint="eastAsia"/>
          <w:u w:color="FF0000"/>
        </w:rPr>
        <w:t>（改正後）</w:t>
      </w:r>
    </w:p>
    <w:p w:rsidR="00B33B1F" w:rsidRPr="005E3B3C" w:rsidRDefault="00B33B1F" w:rsidP="00B33B1F">
      <w:pPr>
        <w:ind w:left="178" w:hangingChars="85" w:hanging="178"/>
      </w:pPr>
      <w:r w:rsidRPr="00352527">
        <w:rPr>
          <w:rFonts w:hint="eastAsia"/>
          <w:u w:color="FF0000"/>
        </w:rPr>
        <w:t xml:space="preserve">第百九十九条　</w:t>
      </w:r>
      <w:r w:rsidRPr="005E3B3C">
        <w:rPr>
          <w:rFonts w:hint="eastAsia"/>
        </w:rPr>
        <w:t>第七十九条の十四、第百五十四条又は第百五十六条の十三</w:t>
      </w:r>
      <w:r w:rsidR="00B2542C" w:rsidRPr="005E3B3C">
        <w:rPr>
          <w:rFonts w:hint="eastAsia"/>
        </w:rPr>
        <w:t>第一項</w:t>
      </w:r>
      <w:r w:rsidRPr="005E3B3C">
        <w:rPr>
          <w:rFonts w:hint="eastAsia"/>
        </w:rPr>
        <w:t>の規定による報告若しくは資料を提出せず、又は虚偽の報告若しくは資料を提出した場合においては、その行為をした証券業協会、証券取引所、証券金融会社又は証券取引所に上場されている有価証券の発行者の代表者、代理人、使用人その他の従業者は、一年以下の懲役若しくは三百万円以下の罰金に処し、又はこれを併科する。</w:t>
      </w:r>
    </w:p>
    <w:p w:rsidR="005E3B3C" w:rsidRPr="006D4E25" w:rsidRDefault="005E3B3C" w:rsidP="005E3B3C">
      <w:pPr>
        <w:rPr>
          <w:u w:color="FF0000"/>
        </w:rPr>
      </w:pPr>
    </w:p>
    <w:p w:rsidR="005E3B3C" w:rsidRPr="006D4E25" w:rsidRDefault="005E3B3C" w:rsidP="005E3B3C">
      <w:pPr>
        <w:ind w:left="178" w:hangingChars="85" w:hanging="178"/>
        <w:rPr>
          <w:u w:color="FF0000"/>
        </w:rPr>
      </w:pPr>
      <w:r w:rsidRPr="006D4E25">
        <w:rPr>
          <w:rFonts w:hint="eastAsia"/>
          <w:u w:color="FF0000"/>
        </w:rPr>
        <w:lastRenderedPageBreak/>
        <w:t>（改正前）</w:t>
      </w:r>
    </w:p>
    <w:p w:rsidR="005E3B3C" w:rsidRPr="006D4E25" w:rsidRDefault="005E3B3C" w:rsidP="005E3B3C">
      <w:pPr>
        <w:rPr>
          <w:u w:val="single" w:color="FF0000"/>
        </w:rPr>
      </w:pPr>
      <w:r w:rsidRPr="006D4E25">
        <w:rPr>
          <w:rFonts w:hint="eastAsia"/>
          <w:u w:val="single" w:color="FF0000"/>
        </w:rPr>
        <w:t>（新設）</w:t>
      </w:r>
    </w:p>
    <w:p w:rsidR="00E41BA2" w:rsidRPr="00352527" w:rsidRDefault="00E41BA2" w:rsidP="00B33B1F">
      <w:pPr>
        <w:ind w:left="178" w:hangingChars="85" w:hanging="178"/>
        <w:rPr>
          <w:rFonts w:hint="eastAsia"/>
          <w:u w:color="FF0000"/>
        </w:rPr>
      </w:pPr>
    </w:p>
    <w:sectPr w:rsidR="00E41BA2" w:rsidRPr="0035252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F90" w:rsidRDefault="00E66F90">
      <w:r>
        <w:separator/>
      </w:r>
    </w:p>
  </w:endnote>
  <w:endnote w:type="continuationSeparator" w:id="0">
    <w:p w:rsidR="00E66F90" w:rsidRDefault="00E66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955D7">
      <w:rPr>
        <w:rStyle w:val="a4"/>
        <w:noProof/>
      </w:rPr>
      <w:t>1</w:t>
    </w:r>
    <w:r>
      <w:rPr>
        <w:rStyle w:val="a4"/>
      </w:rPr>
      <w:fldChar w:fldCharType="end"/>
    </w:r>
  </w:p>
  <w:p w:rsidR="00BB6331" w:rsidRPr="00CD56BE" w:rsidRDefault="00CD56BE" w:rsidP="00CD56BE">
    <w:pPr>
      <w:pStyle w:val="a3"/>
      <w:ind w:right="360"/>
    </w:pPr>
    <w:r>
      <w:rPr>
        <w:rFonts w:ascii="Times New Roman" w:hAnsi="Times New Roman" w:hint="eastAsia"/>
        <w:noProof/>
        <w:kern w:val="0"/>
        <w:szCs w:val="21"/>
      </w:rPr>
      <w:t xml:space="preserve">金融商品取引法　</w:t>
    </w:r>
    <w:r w:rsidRPr="00CD56BE">
      <w:rPr>
        <w:rFonts w:ascii="Times New Roman" w:hAnsi="Times New Roman"/>
        <w:noProof/>
        <w:kern w:val="0"/>
        <w:szCs w:val="21"/>
      </w:rPr>
      <w:fldChar w:fldCharType="begin"/>
    </w:r>
    <w:r w:rsidRPr="00CD56B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199</w:t>
    </w:r>
    <w:r>
      <w:rPr>
        <w:rFonts w:ascii="Times New Roman" w:hAnsi="Times New Roman" w:hint="eastAsia"/>
        <w:noProof/>
        <w:kern w:val="0"/>
        <w:szCs w:val="21"/>
      </w:rPr>
      <w:t>条</w:t>
    </w:r>
    <w:r>
      <w:rPr>
        <w:rFonts w:ascii="Times New Roman" w:hAnsi="Times New Roman" w:hint="eastAsia"/>
        <w:noProof/>
        <w:kern w:val="0"/>
        <w:szCs w:val="21"/>
      </w:rPr>
      <w:t>.doc</w:t>
    </w:r>
    <w:r w:rsidRPr="00CD56B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F90" w:rsidRDefault="00E66F90">
      <w:r>
        <w:separator/>
      </w:r>
    </w:p>
  </w:footnote>
  <w:footnote w:type="continuationSeparator" w:id="0">
    <w:p w:rsidR="00E66F90" w:rsidRDefault="00E66F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4A81"/>
    <w:rsid w:val="0012322A"/>
    <w:rsid w:val="0012570D"/>
    <w:rsid w:val="00176CC8"/>
    <w:rsid w:val="001E3F24"/>
    <w:rsid w:val="002443AF"/>
    <w:rsid w:val="002A63BD"/>
    <w:rsid w:val="00352527"/>
    <w:rsid w:val="00356CFE"/>
    <w:rsid w:val="003571F9"/>
    <w:rsid w:val="00450F09"/>
    <w:rsid w:val="00500D70"/>
    <w:rsid w:val="005D52C2"/>
    <w:rsid w:val="005E3B3C"/>
    <w:rsid w:val="00641E16"/>
    <w:rsid w:val="00652C95"/>
    <w:rsid w:val="00673AB5"/>
    <w:rsid w:val="00747C16"/>
    <w:rsid w:val="007879B6"/>
    <w:rsid w:val="007B48CE"/>
    <w:rsid w:val="007D76EA"/>
    <w:rsid w:val="008B266F"/>
    <w:rsid w:val="009E2A1F"/>
    <w:rsid w:val="009F0A1D"/>
    <w:rsid w:val="00A61264"/>
    <w:rsid w:val="00AB7099"/>
    <w:rsid w:val="00AD5DCA"/>
    <w:rsid w:val="00B2542C"/>
    <w:rsid w:val="00B33B1F"/>
    <w:rsid w:val="00BB6331"/>
    <w:rsid w:val="00C61842"/>
    <w:rsid w:val="00C93E5C"/>
    <w:rsid w:val="00C955D7"/>
    <w:rsid w:val="00CD56BE"/>
    <w:rsid w:val="00CE5B43"/>
    <w:rsid w:val="00D4344C"/>
    <w:rsid w:val="00D740D6"/>
    <w:rsid w:val="00D76DAF"/>
    <w:rsid w:val="00E41BA2"/>
    <w:rsid w:val="00E66F90"/>
    <w:rsid w:val="00F305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5DC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E3F2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890455">
      <w:bodyDiv w:val="1"/>
      <w:marLeft w:val="0"/>
      <w:marRight w:val="0"/>
      <w:marTop w:val="0"/>
      <w:marBottom w:val="0"/>
      <w:divBdr>
        <w:top w:val="none" w:sz="0" w:space="0" w:color="auto"/>
        <w:left w:val="none" w:sz="0" w:space="0" w:color="auto"/>
        <w:bottom w:val="none" w:sz="0" w:space="0" w:color="auto"/>
        <w:right w:val="none" w:sz="0" w:space="0" w:color="auto"/>
      </w:divBdr>
    </w:div>
    <w:div w:id="172453282">
      <w:bodyDiv w:val="1"/>
      <w:marLeft w:val="0"/>
      <w:marRight w:val="0"/>
      <w:marTop w:val="0"/>
      <w:marBottom w:val="0"/>
      <w:divBdr>
        <w:top w:val="none" w:sz="0" w:space="0" w:color="auto"/>
        <w:left w:val="none" w:sz="0" w:space="0" w:color="auto"/>
        <w:bottom w:val="none" w:sz="0" w:space="0" w:color="auto"/>
        <w:right w:val="none" w:sz="0" w:space="0" w:color="auto"/>
      </w:divBdr>
    </w:div>
    <w:div w:id="620765472">
      <w:bodyDiv w:val="1"/>
      <w:marLeft w:val="0"/>
      <w:marRight w:val="0"/>
      <w:marTop w:val="0"/>
      <w:marBottom w:val="0"/>
      <w:divBdr>
        <w:top w:val="none" w:sz="0" w:space="0" w:color="auto"/>
        <w:left w:val="none" w:sz="0" w:space="0" w:color="auto"/>
        <w:bottom w:val="none" w:sz="0" w:space="0" w:color="auto"/>
        <w:right w:val="none" w:sz="0" w:space="0" w:color="auto"/>
      </w:divBdr>
    </w:div>
    <w:div w:id="801535545">
      <w:bodyDiv w:val="1"/>
      <w:marLeft w:val="0"/>
      <w:marRight w:val="0"/>
      <w:marTop w:val="0"/>
      <w:marBottom w:val="0"/>
      <w:divBdr>
        <w:top w:val="none" w:sz="0" w:space="0" w:color="auto"/>
        <w:left w:val="none" w:sz="0" w:space="0" w:color="auto"/>
        <w:bottom w:val="none" w:sz="0" w:space="0" w:color="auto"/>
        <w:right w:val="none" w:sz="0" w:space="0" w:color="auto"/>
      </w:divBdr>
    </w:div>
    <w:div w:id="802894696">
      <w:bodyDiv w:val="1"/>
      <w:marLeft w:val="0"/>
      <w:marRight w:val="0"/>
      <w:marTop w:val="0"/>
      <w:marBottom w:val="0"/>
      <w:divBdr>
        <w:top w:val="none" w:sz="0" w:space="0" w:color="auto"/>
        <w:left w:val="none" w:sz="0" w:space="0" w:color="auto"/>
        <w:bottom w:val="none" w:sz="0" w:space="0" w:color="auto"/>
        <w:right w:val="none" w:sz="0" w:space="0" w:color="auto"/>
      </w:divBdr>
    </w:div>
    <w:div w:id="851534970">
      <w:bodyDiv w:val="1"/>
      <w:marLeft w:val="0"/>
      <w:marRight w:val="0"/>
      <w:marTop w:val="0"/>
      <w:marBottom w:val="0"/>
      <w:divBdr>
        <w:top w:val="none" w:sz="0" w:space="0" w:color="auto"/>
        <w:left w:val="none" w:sz="0" w:space="0" w:color="auto"/>
        <w:bottom w:val="none" w:sz="0" w:space="0" w:color="auto"/>
        <w:right w:val="none" w:sz="0" w:space="0" w:color="auto"/>
      </w:divBdr>
    </w:div>
    <w:div w:id="857427472">
      <w:bodyDiv w:val="1"/>
      <w:marLeft w:val="0"/>
      <w:marRight w:val="0"/>
      <w:marTop w:val="0"/>
      <w:marBottom w:val="0"/>
      <w:divBdr>
        <w:top w:val="none" w:sz="0" w:space="0" w:color="auto"/>
        <w:left w:val="none" w:sz="0" w:space="0" w:color="auto"/>
        <w:bottom w:val="none" w:sz="0" w:space="0" w:color="auto"/>
        <w:right w:val="none" w:sz="0" w:space="0" w:color="auto"/>
      </w:divBdr>
    </w:div>
    <w:div w:id="979073232">
      <w:bodyDiv w:val="1"/>
      <w:marLeft w:val="0"/>
      <w:marRight w:val="0"/>
      <w:marTop w:val="0"/>
      <w:marBottom w:val="0"/>
      <w:divBdr>
        <w:top w:val="none" w:sz="0" w:space="0" w:color="auto"/>
        <w:left w:val="none" w:sz="0" w:space="0" w:color="auto"/>
        <w:bottom w:val="none" w:sz="0" w:space="0" w:color="auto"/>
        <w:right w:val="none" w:sz="0" w:space="0" w:color="auto"/>
      </w:divBdr>
    </w:div>
    <w:div w:id="1091584664">
      <w:bodyDiv w:val="1"/>
      <w:marLeft w:val="0"/>
      <w:marRight w:val="0"/>
      <w:marTop w:val="0"/>
      <w:marBottom w:val="0"/>
      <w:divBdr>
        <w:top w:val="none" w:sz="0" w:space="0" w:color="auto"/>
        <w:left w:val="none" w:sz="0" w:space="0" w:color="auto"/>
        <w:bottom w:val="none" w:sz="0" w:space="0" w:color="auto"/>
        <w:right w:val="none" w:sz="0" w:space="0" w:color="auto"/>
      </w:divBdr>
    </w:div>
    <w:div w:id="1118526477">
      <w:bodyDiv w:val="1"/>
      <w:marLeft w:val="0"/>
      <w:marRight w:val="0"/>
      <w:marTop w:val="0"/>
      <w:marBottom w:val="0"/>
      <w:divBdr>
        <w:top w:val="none" w:sz="0" w:space="0" w:color="auto"/>
        <w:left w:val="none" w:sz="0" w:space="0" w:color="auto"/>
        <w:bottom w:val="none" w:sz="0" w:space="0" w:color="auto"/>
        <w:right w:val="none" w:sz="0" w:space="0" w:color="auto"/>
      </w:divBdr>
    </w:div>
    <w:div w:id="1233392425">
      <w:bodyDiv w:val="1"/>
      <w:marLeft w:val="0"/>
      <w:marRight w:val="0"/>
      <w:marTop w:val="0"/>
      <w:marBottom w:val="0"/>
      <w:divBdr>
        <w:top w:val="none" w:sz="0" w:space="0" w:color="auto"/>
        <w:left w:val="none" w:sz="0" w:space="0" w:color="auto"/>
        <w:bottom w:val="none" w:sz="0" w:space="0" w:color="auto"/>
        <w:right w:val="none" w:sz="0" w:space="0" w:color="auto"/>
      </w:divBdr>
    </w:div>
    <w:div w:id="1259288451">
      <w:bodyDiv w:val="1"/>
      <w:marLeft w:val="0"/>
      <w:marRight w:val="0"/>
      <w:marTop w:val="0"/>
      <w:marBottom w:val="0"/>
      <w:divBdr>
        <w:top w:val="none" w:sz="0" w:space="0" w:color="auto"/>
        <w:left w:val="none" w:sz="0" w:space="0" w:color="auto"/>
        <w:bottom w:val="none" w:sz="0" w:space="0" w:color="auto"/>
        <w:right w:val="none" w:sz="0" w:space="0" w:color="auto"/>
      </w:divBdr>
    </w:div>
    <w:div w:id="1386106237">
      <w:bodyDiv w:val="1"/>
      <w:marLeft w:val="0"/>
      <w:marRight w:val="0"/>
      <w:marTop w:val="0"/>
      <w:marBottom w:val="0"/>
      <w:divBdr>
        <w:top w:val="none" w:sz="0" w:space="0" w:color="auto"/>
        <w:left w:val="none" w:sz="0" w:space="0" w:color="auto"/>
        <w:bottom w:val="none" w:sz="0" w:space="0" w:color="auto"/>
        <w:right w:val="none" w:sz="0" w:space="0" w:color="auto"/>
      </w:divBdr>
    </w:div>
    <w:div w:id="1470588470">
      <w:bodyDiv w:val="1"/>
      <w:marLeft w:val="0"/>
      <w:marRight w:val="0"/>
      <w:marTop w:val="0"/>
      <w:marBottom w:val="0"/>
      <w:divBdr>
        <w:top w:val="none" w:sz="0" w:space="0" w:color="auto"/>
        <w:left w:val="none" w:sz="0" w:space="0" w:color="auto"/>
        <w:bottom w:val="none" w:sz="0" w:space="0" w:color="auto"/>
        <w:right w:val="none" w:sz="0" w:space="0" w:color="auto"/>
      </w:divBdr>
    </w:div>
    <w:div w:id="1562255752">
      <w:bodyDiv w:val="1"/>
      <w:marLeft w:val="0"/>
      <w:marRight w:val="0"/>
      <w:marTop w:val="0"/>
      <w:marBottom w:val="0"/>
      <w:divBdr>
        <w:top w:val="none" w:sz="0" w:space="0" w:color="auto"/>
        <w:left w:val="none" w:sz="0" w:space="0" w:color="auto"/>
        <w:bottom w:val="none" w:sz="0" w:space="0" w:color="auto"/>
        <w:right w:val="none" w:sz="0" w:space="0" w:color="auto"/>
      </w:divBdr>
    </w:div>
    <w:div w:id="1724863940">
      <w:bodyDiv w:val="1"/>
      <w:marLeft w:val="0"/>
      <w:marRight w:val="0"/>
      <w:marTop w:val="0"/>
      <w:marBottom w:val="0"/>
      <w:divBdr>
        <w:top w:val="none" w:sz="0" w:space="0" w:color="auto"/>
        <w:left w:val="none" w:sz="0" w:space="0" w:color="auto"/>
        <w:bottom w:val="none" w:sz="0" w:space="0" w:color="auto"/>
        <w:right w:val="none" w:sz="0" w:space="0" w:color="auto"/>
      </w:divBdr>
    </w:div>
    <w:div w:id="1740204392">
      <w:bodyDiv w:val="1"/>
      <w:marLeft w:val="0"/>
      <w:marRight w:val="0"/>
      <w:marTop w:val="0"/>
      <w:marBottom w:val="0"/>
      <w:divBdr>
        <w:top w:val="none" w:sz="0" w:space="0" w:color="auto"/>
        <w:left w:val="none" w:sz="0" w:space="0" w:color="auto"/>
        <w:bottom w:val="none" w:sz="0" w:space="0" w:color="auto"/>
        <w:right w:val="none" w:sz="0" w:space="0" w:color="auto"/>
      </w:divBdr>
    </w:div>
    <w:div w:id="1761683912">
      <w:bodyDiv w:val="1"/>
      <w:marLeft w:val="0"/>
      <w:marRight w:val="0"/>
      <w:marTop w:val="0"/>
      <w:marBottom w:val="0"/>
      <w:divBdr>
        <w:top w:val="none" w:sz="0" w:space="0" w:color="auto"/>
        <w:left w:val="none" w:sz="0" w:space="0" w:color="auto"/>
        <w:bottom w:val="none" w:sz="0" w:space="0" w:color="auto"/>
        <w:right w:val="none" w:sz="0" w:space="0" w:color="auto"/>
      </w:divBdr>
    </w:div>
    <w:div w:id="1870022430">
      <w:bodyDiv w:val="1"/>
      <w:marLeft w:val="0"/>
      <w:marRight w:val="0"/>
      <w:marTop w:val="0"/>
      <w:marBottom w:val="0"/>
      <w:divBdr>
        <w:top w:val="none" w:sz="0" w:space="0" w:color="auto"/>
        <w:left w:val="none" w:sz="0" w:space="0" w:color="auto"/>
        <w:bottom w:val="none" w:sz="0" w:space="0" w:color="auto"/>
        <w:right w:val="none" w:sz="0" w:space="0" w:color="auto"/>
      </w:divBdr>
    </w:div>
    <w:div w:id="1947928079">
      <w:bodyDiv w:val="1"/>
      <w:marLeft w:val="0"/>
      <w:marRight w:val="0"/>
      <w:marTop w:val="0"/>
      <w:marBottom w:val="0"/>
      <w:divBdr>
        <w:top w:val="none" w:sz="0" w:space="0" w:color="auto"/>
        <w:left w:val="none" w:sz="0" w:space="0" w:color="auto"/>
        <w:bottom w:val="none" w:sz="0" w:space="0" w:color="auto"/>
        <w:right w:val="none" w:sz="0" w:space="0" w:color="auto"/>
      </w:divBdr>
    </w:div>
    <w:div w:id="203889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732</Words>
  <Characters>4174</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2024-08-07T02:35:00Z</dcterms:created>
  <dcterms:modified xsi:type="dcterms:W3CDTF">2024-08-07T02:35:00Z</dcterms:modified>
</cp:coreProperties>
</file>