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97AA" w14:textId="77777777" w:rsidR="004D6C51" w:rsidRPr="000B3CAB" w:rsidRDefault="004D6C51" w:rsidP="004D6C51">
      <w:pPr>
        <w:ind w:left="221" w:hangingChars="100" w:hanging="221"/>
        <w:rPr>
          <w:rFonts w:ascii="Arial" w:hAnsi="Arial"/>
          <w:b/>
          <w:sz w:val="22"/>
        </w:rPr>
      </w:pPr>
      <w:r w:rsidRPr="000B3CAB">
        <w:rPr>
          <w:rFonts w:ascii="Arial" w:hAnsi="Arial" w:hint="eastAsia"/>
          <w:b/>
          <w:sz w:val="22"/>
        </w:rPr>
        <w:t>質問表別紙（第二種金融商品取引業用）</w:t>
      </w:r>
    </w:p>
    <w:p w14:paraId="05E14BAC" w14:textId="77777777" w:rsidR="004D6C51" w:rsidRPr="000B3CAB" w:rsidRDefault="004D6C51" w:rsidP="004D6C51">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2F20C327" w14:textId="77777777" w:rsidR="004D6C51" w:rsidRPr="000B3CAB" w:rsidRDefault="004D6C51" w:rsidP="004D6C51">
      <w:pPr>
        <w:ind w:left="220" w:hangingChars="100" w:hanging="220"/>
        <w:rPr>
          <w:rFonts w:ascii="Arial" w:hAnsi="Arial"/>
          <w:sz w:val="22"/>
          <w:szCs w:val="22"/>
        </w:rPr>
      </w:pPr>
    </w:p>
    <w:p w14:paraId="16EB7574" w14:textId="77777777" w:rsidR="004D6C51" w:rsidRPr="000B3CAB" w:rsidRDefault="004D6C51" w:rsidP="004D6C51">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6205A527" w14:textId="77777777" w:rsidR="004D6C51" w:rsidRPr="000B3CAB" w:rsidRDefault="004D6C51" w:rsidP="004D6C51">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0D9DA3FC" w14:textId="77777777" w:rsidR="004D6C51" w:rsidRPr="000B3CAB" w:rsidRDefault="004D6C51" w:rsidP="004D6C51">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046EEAB3" w14:textId="77777777" w:rsidR="005E24A6" w:rsidRPr="000B3CAB" w:rsidRDefault="005E24A6" w:rsidP="005E24A6">
      <w:pPr>
        <w:ind w:left="220" w:hangingChars="100" w:hanging="220"/>
        <w:rPr>
          <w:rFonts w:ascii="Arial" w:hAnsi="Arial"/>
          <w:sz w:val="22"/>
          <w:szCs w:val="22"/>
        </w:rPr>
      </w:pPr>
    </w:p>
    <w:p w14:paraId="2E2E96D1" w14:textId="36129E9C"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２</w:t>
      </w:r>
      <w:r w:rsidRPr="000B3CAB">
        <w:rPr>
          <w:rFonts w:ascii="Arial" w:hAnsi="Arial"/>
          <w:sz w:val="22"/>
          <w:szCs w:val="22"/>
        </w:rPr>
        <w:t xml:space="preserve">. </w:t>
      </w:r>
      <w:r w:rsidRPr="000B3CAB">
        <w:rPr>
          <w:rFonts w:ascii="Arial" w:hAnsi="Arial" w:hint="eastAsia"/>
          <w:sz w:val="22"/>
          <w:szCs w:val="22"/>
        </w:rPr>
        <w:t>市場デリバティブ取引業に係る業務の適切性</w:t>
      </w:r>
    </w:p>
    <w:p w14:paraId="035B9CB2" w14:textId="7D609CD3" w:rsidR="00905BDC" w:rsidRPr="000B3CAB" w:rsidRDefault="00905BDC" w:rsidP="005E24A6">
      <w:pPr>
        <w:ind w:left="220" w:hangingChars="100" w:hanging="220"/>
        <w:rPr>
          <w:rFonts w:ascii="Arial" w:hAnsi="Arial"/>
          <w:sz w:val="22"/>
          <w:szCs w:val="22"/>
        </w:rPr>
      </w:pPr>
      <w:r w:rsidRPr="000B3CAB">
        <w:rPr>
          <w:rFonts w:ascii="Arial" w:hAnsi="Arial"/>
          <w:sz w:val="22"/>
          <w:szCs w:val="22"/>
        </w:rPr>
        <w:t>2. Appropriateness of business operations related to market derivatives business operators</w:t>
      </w:r>
    </w:p>
    <w:p w14:paraId="4C5C95D5" w14:textId="7C3354E7" w:rsidR="005E24A6" w:rsidRPr="000B3CAB" w:rsidRDefault="005E24A6" w:rsidP="007E02EA">
      <w:pPr>
        <w:ind w:leftChars="100" w:left="240" w:firstLineChars="20" w:firstLine="44"/>
        <w:rPr>
          <w:rFonts w:ascii="Arial" w:hAnsi="Arial"/>
          <w:sz w:val="22"/>
          <w:szCs w:val="22"/>
        </w:rPr>
      </w:pPr>
      <w:r w:rsidRPr="000B3CAB">
        <w:rPr>
          <w:rFonts w:ascii="Arial" w:hAnsi="Arial" w:hint="eastAsia"/>
          <w:sz w:val="22"/>
          <w:szCs w:val="22"/>
        </w:rPr>
        <w:t>法令等遵守態勢（監督指針Ⅴ－２－２－１）</w:t>
      </w:r>
    </w:p>
    <w:p w14:paraId="584D1E00" w14:textId="5B520B85" w:rsidR="00905BDC" w:rsidRPr="000B3CAB" w:rsidRDefault="00905BDC" w:rsidP="007E02EA">
      <w:pPr>
        <w:ind w:leftChars="100" w:left="240" w:firstLineChars="20" w:firstLine="44"/>
        <w:rPr>
          <w:rFonts w:ascii="Arial" w:hAnsi="Arial"/>
          <w:sz w:val="22"/>
          <w:szCs w:val="22"/>
        </w:rPr>
      </w:pPr>
      <w:r w:rsidRPr="000B3CAB">
        <w:rPr>
          <w:rFonts w:ascii="Arial" w:hAnsi="Arial"/>
          <w:sz w:val="22"/>
          <w:szCs w:val="22"/>
        </w:rPr>
        <w:t>Control environment for legal compliance (Guidelines for Supervision V-2-2-1)</w:t>
      </w:r>
    </w:p>
    <w:p w14:paraId="16ECF847" w14:textId="65A2FFC4" w:rsidR="005E24A6" w:rsidRPr="000B3CAB" w:rsidRDefault="005E24A6" w:rsidP="005E24A6">
      <w:pPr>
        <w:rPr>
          <w:rFonts w:ascii="Arial" w:hAnsi="Arial"/>
          <w:sz w:val="22"/>
          <w:szCs w:val="22"/>
        </w:rPr>
      </w:pPr>
      <w:r w:rsidRPr="000B3CAB">
        <w:rPr>
          <w:rFonts w:ascii="Arial" w:hAnsi="Arial" w:hint="eastAsia"/>
          <w:sz w:val="22"/>
          <w:szCs w:val="22"/>
        </w:rPr>
        <w:t>（１）法令等遵守（コンプライアンス）態勢の整備</w:t>
      </w:r>
    </w:p>
    <w:p w14:paraId="393AF8AA" w14:textId="6D8DCF07" w:rsidR="00596EC7" w:rsidRPr="000B3CAB" w:rsidRDefault="00596EC7" w:rsidP="005E24A6">
      <w:pPr>
        <w:rPr>
          <w:rFonts w:ascii="Arial" w:hAnsi="Arial"/>
          <w:sz w:val="22"/>
          <w:szCs w:val="22"/>
        </w:rPr>
      </w:pPr>
      <w:r w:rsidRPr="000B3CAB">
        <w:rPr>
          <w:rFonts w:ascii="Arial" w:hAnsi="Arial"/>
          <w:sz w:val="22"/>
          <w:szCs w:val="22"/>
        </w:rPr>
        <w:t>(1) Development of Control Environment for Legal Compliance</w:t>
      </w:r>
    </w:p>
    <w:p w14:paraId="1BFD84DA" w14:textId="77777777" w:rsidR="005E24A6" w:rsidRPr="000B3CAB" w:rsidRDefault="005E24A6" w:rsidP="005E24A6">
      <w:pPr>
        <w:ind w:leftChars="100" w:left="240" w:firstLineChars="150" w:firstLine="330"/>
        <w:rPr>
          <w:rFonts w:ascii="Arial" w:hAnsi="Arial"/>
          <w:sz w:val="22"/>
          <w:szCs w:val="22"/>
        </w:rPr>
      </w:pPr>
      <w:r w:rsidRPr="000B3CAB">
        <w:rPr>
          <w:rFonts w:ascii="Arial" w:hAnsi="Arial" w:hint="eastAsia"/>
          <w:sz w:val="22"/>
          <w:szCs w:val="22"/>
        </w:rPr>
        <w:t>我が国金融・経済の発展のためには、公正、透明で効率的な市場の下で、金融商品・サービスが適切な方法で提供される必要があり、金融商品取引業者に対する利用者の信頼は、そのための最も重要な要素の一つである。金融商品取引業者は、法令や業務上の諸規則を厳格に遵守し、健全かつ適切な業務運営に努めることが強く求められている。金融商品取引業者のコンプライアンス態勢の整備については、その業容に応じて、例えば以下のような点に留意して検証することとする。</w:t>
      </w:r>
    </w:p>
    <w:p w14:paraId="57A8FB8F" w14:textId="77777777" w:rsidR="005E24A6" w:rsidRPr="000B3CAB" w:rsidRDefault="005E24A6" w:rsidP="004D1D31">
      <w:pPr>
        <w:ind w:leftChars="200" w:left="764" w:hangingChars="129" w:hanging="284"/>
        <w:rPr>
          <w:rFonts w:ascii="Arial" w:hAnsi="Arial"/>
          <w:sz w:val="22"/>
          <w:szCs w:val="22"/>
        </w:rPr>
      </w:pPr>
      <w:r w:rsidRPr="000B3CAB">
        <w:rPr>
          <w:rFonts w:ascii="Arial" w:hAnsi="Arial" w:hint="eastAsia"/>
          <w:sz w:val="22"/>
          <w:szCs w:val="22"/>
        </w:rPr>
        <w:t>①　コンプライアンスが経営の最重要課題の一つとして位置付けられ、その実践に係る基本的な方針、更に具体的な実践計画（コンプライアンス・プログラム）や行動規範（倫理規程、コンプライアンス・マニュアル）等が策定されているか。また、これらの方針等は役職員に対してその存在及び内容について周知徹底が図られ、十分に理解されるとともに日常の業務運営において実践されているか。</w:t>
      </w:r>
    </w:p>
    <w:p w14:paraId="6A13334C" w14:textId="77777777" w:rsidR="005E24A6" w:rsidRPr="000B3CAB" w:rsidRDefault="005E24A6" w:rsidP="004D1D31">
      <w:pPr>
        <w:ind w:leftChars="200" w:left="764" w:hangingChars="129" w:hanging="284"/>
        <w:rPr>
          <w:rFonts w:ascii="Arial" w:hAnsi="Arial"/>
          <w:sz w:val="22"/>
          <w:szCs w:val="22"/>
        </w:rPr>
      </w:pPr>
      <w:r w:rsidRPr="000B3CAB">
        <w:rPr>
          <w:rFonts w:ascii="Arial" w:hAnsi="Arial" w:hint="eastAsia"/>
          <w:sz w:val="22"/>
          <w:szCs w:val="22"/>
        </w:rPr>
        <w:t>②　実践計画や行動規範は、定期的又は必要に応じ随時に、評価及びフォローアップが行われているか。また、内容の見直しが行われているか。</w:t>
      </w:r>
    </w:p>
    <w:p w14:paraId="142C2278" w14:textId="77777777" w:rsidR="005E24A6" w:rsidRPr="000B3CAB" w:rsidRDefault="005E24A6" w:rsidP="004D1D31">
      <w:pPr>
        <w:ind w:leftChars="200" w:left="764" w:hangingChars="129" w:hanging="284"/>
        <w:rPr>
          <w:rFonts w:ascii="Arial" w:hAnsi="Arial"/>
          <w:sz w:val="22"/>
          <w:szCs w:val="22"/>
        </w:rPr>
      </w:pPr>
      <w:r w:rsidRPr="000B3CAB">
        <w:rPr>
          <w:rFonts w:ascii="Arial" w:hAnsi="Arial" w:hint="eastAsia"/>
          <w:sz w:val="22"/>
          <w:szCs w:val="22"/>
        </w:rPr>
        <w:t>③　コンプライアンス関連の情報が、営業を行う部門（主として収益をあげるための業務を行う全ての部門をいう。以下「営業部門」という。）、コンプライアンス担当部署／担当者、経営陣の間で、的確に連絡・報告される体制となっているか。</w:t>
      </w:r>
    </w:p>
    <w:p w14:paraId="50D25C77" w14:textId="77777777" w:rsidR="005E24A6" w:rsidRPr="000B3CAB" w:rsidRDefault="005E24A6" w:rsidP="004D1D31">
      <w:pPr>
        <w:ind w:leftChars="200" w:left="764" w:hangingChars="129" w:hanging="284"/>
        <w:rPr>
          <w:rFonts w:ascii="Arial" w:hAnsi="Arial"/>
          <w:sz w:val="22"/>
          <w:szCs w:val="22"/>
        </w:rPr>
      </w:pPr>
      <w:r w:rsidRPr="000B3CAB">
        <w:rPr>
          <w:rFonts w:ascii="Arial" w:hAnsi="Arial" w:hint="eastAsia"/>
          <w:sz w:val="22"/>
          <w:szCs w:val="22"/>
        </w:rPr>
        <w:t>④　コンプライアンスに関する研修・教育体制が確立・充実され、役職員のコンプライアンス意識の醸成・向上に努めているか。また、研修の評価及びフォローアップが適宜行われ、内容の見直しを行うなど、実効性の確保に努めているか。</w:t>
      </w:r>
    </w:p>
    <w:p w14:paraId="693CDF1B" w14:textId="77777777" w:rsidR="005E24A6" w:rsidRPr="000B3CAB" w:rsidRDefault="005E24A6" w:rsidP="004D1D31">
      <w:pPr>
        <w:ind w:leftChars="200" w:left="764" w:hangingChars="129" w:hanging="284"/>
        <w:rPr>
          <w:rFonts w:ascii="Arial" w:hAnsi="Arial"/>
          <w:sz w:val="22"/>
          <w:szCs w:val="22"/>
        </w:rPr>
      </w:pPr>
      <w:r w:rsidRPr="000B3CAB">
        <w:rPr>
          <w:rFonts w:ascii="Arial" w:hAnsi="Arial" w:hint="eastAsia"/>
          <w:sz w:val="22"/>
          <w:szCs w:val="22"/>
        </w:rPr>
        <w:t>⑤　金融商品取引業者の内部管理態勢を強化し、適正な業務の遂行に資するため、金融商品取引業者における法令諸規則等の遵守状況を管理する業務を担う者（施行令第</w:t>
      </w:r>
      <w:r w:rsidRPr="000B3CAB">
        <w:rPr>
          <w:rFonts w:ascii="Arial" w:hAnsi="Arial"/>
          <w:sz w:val="22"/>
          <w:szCs w:val="22"/>
        </w:rPr>
        <w:t>15</w:t>
      </w:r>
      <w:r w:rsidRPr="000B3CAB">
        <w:rPr>
          <w:rFonts w:ascii="Arial" w:hAnsi="Arial" w:hint="eastAsia"/>
          <w:sz w:val="22"/>
          <w:szCs w:val="22"/>
        </w:rPr>
        <w:t>条の４第１号に規定する者をいう。）の機能が十分に発揮される態勢となっているか。例えば、内部管理部門の独立性を確保するとともに、営業部門に対する牽制機能を十分発揮するための権限を付与する等しているか。また、内部管理責任者等の機能の発揮状況について、内部監査部門により、その評価及びフォローアップが行われているか。</w:t>
      </w:r>
    </w:p>
    <w:p w14:paraId="74322A9B" w14:textId="77777777" w:rsidR="004D1D31" w:rsidRPr="000B3CAB" w:rsidRDefault="004D1D31" w:rsidP="004D1D31">
      <w:pPr>
        <w:ind w:leftChars="200" w:left="480"/>
        <w:rPr>
          <w:rFonts w:ascii="Arial" w:hAnsi="Arial"/>
          <w:sz w:val="22"/>
          <w:szCs w:val="22"/>
        </w:rPr>
      </w:pPr>
      <w:r w:rsidRPr="000B3CAB">
        <w:rPr>
          <w:rFonts w:ascii="Arial" w:hAnsi="Arial"/>
          <w:sz w:val="22"/>
          <w:szCs w:val="22"/>
        </w:rPr>
        <w:t xml:space="preserve">In order to ensure the development of the Japanese financial market as well as the economy, it is necessary to provide financial instruments and services in an appropriate manner in a fair and transparent securities market, and the confidence of users in Financial Instruments Business Operators is one of the important elements thereof.  Financial instruments </w:t>
      </w:r>
      <w:r w:rsidRPr="000B3CAB">
        <w:rPr>
          <w:rFonts w:ascii="Arial" w:hAnsi="Arial"/>
          <w:sz w:val="22"/>
          <w:szCs w:val="22"/>
        </w:rPr>
        <w:lastRenderedPageBreak/>
        <w:t>business operators must make sure to strictly comply with laws and regulations as well as business rules and maintain sound and appropriate business operations.</w:t>
      </w:r>
    </w:p>
    <w:p w14:paraId="11553943" w14:textId="4FC92F8E" w:rsidR="004D1D31" w:rsidRPr="000B3CAB" w:rsidRDefault="004D1D31" w:rsidP="004D1D31">
      <w:pPr>
        <w:ind w:leftChars="200" w:left="480"/>
        <w:rPr>
          <w:rFonts w:ascii="Arial" w:hAnsi="Arial"/>
          <w:sz w:val="22"/>
          <w:szCs w:val="22"/>
        </w:rPr>
      </w:pPr>
      <w:r w:rsidRPr="000B3CAB">
        <w:rPr>
          <w:rFonts w:ascii="Arial" w:hAnsi="Arial"/>
          <w:sz w:val="22"/>
          <w:szCs w:val="22"/>
        </w:rPr>
        <w:t>The development of the control environment for legal compliance by Financial Instruments Business Operators shall be examined in light of their business profile with due consideration of the following points, for example.</w:t>
      </w:r>
    </w:p>
    <w:p w14:paraId="3CD347C5" w14:textId="42C8CBC7" w:rsidR="004D1D31" w:rsidRPr="000B3CAB" w:rsidRDefault="004D1D31" w:rsidP="004D1D31">
      <w:pPr>
        <w:ind w:leftChars="177" w:left="709" w:hangingChars="129" w:hanging="284"/>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the Financial Instruments Business Operator has counted compliance as one of the most important management issues and formulated a basic policy concerning the implementation of compliance, a comprehensive implementation plan (compliance program) and a code of conduct (rules concerning ethics and a compliance manual, etc.).</w:t>
      </w:r>
      <w:r w:rsidR="00BC6AF9" w:rsidRPr="000B3CAB">
        <w:rPr>
          <w:rFonts w:ascii="Arial" w:hAnsi="Arial"/>
          <w:sz w:val="22"/>
          <w:szCs w:val="22"/>
        </w:rPr>
        <w:t xml:space="preserve"> </w:t>
      </w:r>
      <w:r w:rsidRPr="000B3CAB">
        <w:rPr>
          <w:rFonts w:ascii="Arial" w:hAnsi="Arial"/>
          <w:sz w:val="22"/>
          <w:szCs w:val="22"/>
        </w:rPr>
        <w:t xml:space="preserve"> In addition, whether it has informed all officers and employees of the existence and contents of the implementation policy, etc., and ensured a full understanding thereof and the implementation of compliance in daily business operations.</w:t>
      </w:r>
    </w:p>
    <w:p w14:paraId="28F8665F" w14:textId="7D7BCD0C" w:rsidR="004D1D31" w:rsidRPr="000B3CAB" w:rsidRDefault="004D1D31" w:rsidP="004D1D31">
      <w:pPr>
        <w:ind w:leftChars="177" w:left="709" w:hangingChars="129" w:hanging="284"/>
        <w:rPr>
          <w:rFonts w:ascii="Arial" w:hAnsi="Arial"/>
          <w:sz w:val="22"/>
          <w:szCs w:val="22"/>
        </w:rPr>
      </w:pPr>
      <w:r w:rsidRPr="000B3CAB">
        <w:rPr>
          <w:rFonts w:ascii="Arial" w:hAnsi="Arial"/>
          <w:sz w:val="22"/>
          <w:szCs w:val="22"/>
        </w:rPr>
        <w:t xml:space="preserve">(ii) Whether the Financial Instruments Business Operator conducts evaluation and a follow-up regarding the implementation policy and the code of conduct on a periodic or as-needed basis. </w:t>
      </w:r>
      <w:r w:rsidR="00BC6AF9" w:rsidRPr="000B3CAB">
        <w:rPr>
          <w:rFonts w:ascii="Arial" w:hAnsi="Arial"/>
          <w:sz w:val="22"/>
          <w:szCs w:val="22"/>
        </w:rPr>
        <w:t xml:space="preserve"> </w:t>
      </w:r>
      <w:r w:rsidRPr="000B3CAB">
        <w:rPr>
          <w:rFonts w:ascii="Arial" w:hAnsi="Arial"/>
          <w:sz w:val="22"/>
          <w:szCs w:val="22"/>
        </w:rPr>
        <w:t>Whether it reviews and revises the contents thereof.</w:t>
      </w:r>
    </w:p>
    <w:p w14:paraId="1FC16EB5" w14:textId="74D1445E" w:rsidR="004D1D31" w:rsidRPr="000B3CAB" w:rsidRDefault="004D1D31" w:rsidP="004D1D31">
      <w:pPr>
        <w:ind w:leftChars="177" w:left="709" w:hangingChars="129" w:hanging="284"/>
        <w:rPr>
          <w:rFonts w:ascii="Arial" w:hAnsi="Arial"/>
          <w:sz w:val="22"/>
          <w:szCs w:val="22"/>
        </w:rPr>
      </w:pPr>
      <w:r w:rsidRPr="000B3CAB">
        <w:rPr>
          <w:rFonts w:ascii="Arial" w:hAnsi="Arial"/>
          <w:sz w:val="22"/>
          <w:szCs w:val="22"/>
        </w:rPr>
        <w:t>(iii) Whether the Financial Instruments Business Operator has established a system for ensuring appropriate communications and reporting of compliance-related information among divisions in charge of sales (which refer to all divisions engaged mainly in profit-generating business operations; hereinafter referred to as “sales divisions”), the division/manager in charge of compliance and the management team.</w:t>
      </w:r>
    </w:p>
    <w:p w14:paraId="1EB0FBA1" w14:textId="63E4516B" w:rsidR="004D1D31" w:rsidRPr="000B3CAB" w:rsidRDefault="004D1D31" w:rsidP="004D1D31">
      <w:pPr>
        <w:ind w:leftChars="177" w:left="709" w:hangingChars="129" w:hanging="284"/>
        <w:rPr>
          <w:rFonts w:ascii="Arial" w:hAnsi="Arial"/>
          <w:sz w:val="22"/>
          <w:szCs w:val="22"/>
        </w:rPr>
      </w:pPr>
      <w:r w:rsidRPr="000B3CAB">
        <w:rPr>
          <w:rFonts w:ascii="Arial" w:hAnsi="Arial"/>
          <w:sz w:val="22"/>
          <w:szCs w:val="22"/>
        </w:rPr>
        <w:t xml:space="preserve">(iv) Whether the Financial Instruments Business Operator has established robust systems for training and educating officers and employees on compliance and strives to foster and enhance a sense of compliance among officers and employees. </w:t>
      </w:r>
      <w:r w:rsidR="00123586" w:rsidRPr="000B3CAB">
        <w:rPr>
          <w:rFonts w:ascii="Arial" w:hAnsi="Arial"/>
          <w:sz w:val="22"/>
          <w:szCs w:val="22"/>
        </w:rPr>
        <w:t xml:space="preserve"> </w:t>
      </w:r>
      <w:r w:rsidRPr="000B3CAB">
        <w:rPr>
          <w:rFonts w:ascii="Arial" w:hAnsi="Arial"/>
          <w:sz w:val="22"/>
          <w:szCs w:val="22"/>
        </w:rPr>
        <w:t>In addition, whether it strives to ensure the effectiveness of training by, for example, conducting evaluation and follow-up in a timely manner and by reviewing and revising the contents thereof.</w:t>
      </w:r>
    </w:p>
    <w:p w14:paraId="5F480A10" w14:textId="45EA6C9F" w:rsidR="005E24A6" w:rsidRPr="000B3CAB" w:rsidRDefault="004D1D31" w:rsidP="004D1D31">
      <w:pPr>
        <w:ind w:leftChars="177" w:left="709" w:hangingChars="129" w:hanging="284"/>
        <w:rPr>
          <w:rFonts w:ascii="Arial" w:hAnsi="Arial"/>
          <w:sz w:val="22"/>
          <w:szCs w:val="22"/>
        </w:rPr>
      </w:pPr>
      <w:r w:rsidRPr="000B3CAB">
        <w:rPr>
          <w:rFonts w:ascii="Arial" w:hAnsi="Arial"/>
          <w:sz w:val="22"/>
          <w:szCs w:val="22"/>
        </w:rPr>
        <w:t>(v) Whether the Financial Instruments Business Operator has established a system for enabling the person in charge of supervising the status of compliance with laws, regulations, rules, etc. (the person specified by Article 15-4(</w:t>
      </w:r>
      <w:proofErr w:type="spellStart"/>
      <w:r w:rsidRPr="000B3CAB">
        <w:rPr>
          <w:rFonts w:ascii="Arial" w:hAnsi="Arial"/>
          <w:sz w:val="22"/>
          <w:szCs w:val="22"/>
        </w:rPr>
        <w:t>i</w:t>
      </w:r>
      <w:proofErr w:type="spellEnd"/>
      <w:r w:rsidRPr="000B3CAB">
        <w:rPr>
          <w:rFonts w:ascii="Arial" w:hAnsi="Arial"/>
          <w:sz w:val="22"/>
          <w:szCs w:val="22"/>
        </w:rPr>
        <w:t>) of the FIEA Enforcement Order) to perform his or her functions fully so as to enhance the internal control environment and contribute to appropriate business execution.</w:t>
      </w:r>
      <w:r w:rsidR="00BF7C55" w:rsidRPr="000B3CAB">
        <w:rPr>
          <w:rFonts w:ascii="Arial" w:hAnsi="Arial"/>
          <w:sz w:val="22"/>
          <w:szCs w:val="22"/>
        </w:rPr>
        <w:t xml:space="preserve"> </w:t>
      </w:r>
      <w:r w:rsidRPr="000B3CAB">
        <w:rPr>
          <w:rFonts w:ascii="Arial" w:hAnsi="Arial"/>
          <w:sz w:val="22"/>
          <w:szCs w:val="22"/>
        </w:rPr>
        <w:t xml:space="preserve"> For example, whether it ensures independence of the internal control division and gives the internal control division the authority to fully perform the function to check the sales division. </w:t>
      </w:r>
      <w:r w:rsidR="00BF7C55" w:rsidRPr="000B3CAB">
        <w:rPr>
          <w:rFonts w:ascii="Arial" w:hAnsi="Arial"/>
          <w:sz w:val="22"/>
          <w:szCs w:val="22"/>
        </w:rPr>
        <w:t xml:space="preserve"> </w:t>
      </w:r>
      <w:r w:rsidRPr="000B3CAB">
        <w:rPr>
          <w:rFonts w:ascii="Arial" w:hAnsi="Arial"/>
          <w:sz w:val="22"/>
          <w:szCs w:val="22"/>
        </w:rPr>
        <w:t>Whether the internal control division conducts an evaluation and follow-up regarding the status of performance of the function of the manager in charge of internal control, etc.</w:t>
      </w:r>
    </w:p>
    <w:p w14:paraId="0993F437" w14:textId="097F42B0" w:rsidR="00596EC7" w:rsidRPr="000B3CAB" w:rsidRDefault="00596EC7" w:rsidP="00596EC7">
      <w:pPr>
        <w:rPr>
          <w:rFonts w:ascii="Arial" w:hAnsi="Arial"/>
          <w:sz w:val="22"/>
          <w:szCs w:val="22"/>
        </w:rPr>
      </w:pPr>
    </w:p>
    <w:p w14:paraId="722E0E76" w14:textId="77777777" w:rsidR="00596EC7" w:rsidRPr="000B3CAB" w:rsidRDefault="00596EC7" w:rsidP="00596EC7">
      <w:pPr>
        <w:rPr>
          <w:rFonts w:ascii="Arial" w:hAnsi="Arial"/>
          <w:sz w:val="22"/>
          <w:szCs w:val="22"/>
        </w:rPr>
      </w:pPr>
    </w:p>
    <w:p w14:paraId="69B7004C" w14:textId="5AD0E43D" w:rsidR="005E24A6" w:rsidRPr="000B3CAB" w:rsidRDefault="005E24A6" w:rsidP="007E02EA">
      <w:pPr>
        <w:ind w:leftChars="118" w:left="283" w:firstLine="1"/>
        <w:rPr>
          <w:rFonts w:ascii="Arial" w:hAnsi="Arial"/>
          <w:sz w:val="22"/>
          <w:szCs w:val="22"/>
        </w:rPr>
      </w:pPr>
      <w:r w:rsidRPr="000B3CAB">
        <w:rPr>
          <w:rFonts w:ascii="Arial" w:hAnsi="Arial" w:hint="eastAsia"/>
          <w:sz w:val="22"/>
          <w:szCs w:val="22"/>
        </w:rPr>
        <w:t>勧誘・説明態勢（監督指針Ⅴ－２－２－２（</w:t>
      </w:r>
      <w:r w:rsidRPr="000B3CAB">
        <w:rPr>
          <w:rFonts w:ascii="Arial" w:hAnsi="Arial"/>
          <w:sz w:val="22"/>
          <w:szCs w:val="22"/>
        </w:rPr>
        <w:t>1</w:t>
      </w:r>
      <w:r w:rsidRPr="000B3CAB">
        <w:rPr>
          <w:rFonts w:ascii="Arial" w:hAnsi="Arial" w:hint="eastAsia"/>
          <w:sz w:val="22"/>
          <w:szCs w:val="22"/>
        </w:rPr>
        <w:t>）～（</w:t>
      </w:r>
      <w:r w:rsidR="00437BA1" w:rsidRPr="000B3CAB">
        <w:rPr>
          <w:rFonts w:ascii="Arial" w:hAnsi="Arial"/>
          <w:sz w:val="22"/>
          <w:szCs w:val="22"/>
        </w:rPr>
        <w:t>5</w:t>
      </w:r>
      <w:r w:rsidRPr="000B3CAB">
        <w:rPr>
          <w:rFonts w:ascii="Arial" w:hAnsi="Arial" w:hint="eastAsia"/>
          <w:sz w:val="22"/>
          <w:szCs w:val="22"/>
        </w:rPr>
        <w:t>））</w:t>
      </w:r>
    </w:p>
    <w:p w14:paraId="6F1C73C3" w14:textId="1AD0D513" w:rsidR="00437BA1" w:rsidRPr="000B3CAB" w:rsidRDefault="00437BA1" w:rsidP="007E02EA">
      <w:pPr>
        <w:ind w:leftChars="118" w:left="283" w:firstLine="1"/>
        <w:rPr>
          <w:rFonts w:ascii="Arial" w:hAnsi="Arial"/>
          <w:sz w:val="22"/>
          <w:szCs w:val="22"/>
        </w:rPr>
      </w:pPr>
      <w:r w:rsidRPr="000B3CAB">
        <w:rPr>
          <w:rFonts w:ascii="Arial" w:hAnsi="Arial"/>
          <w:sz w:val="22"/>
          <w:szCs w:val="22"/>
        </w:rPr>
        <w:t>Control environment for customer solicitation and explanations (Guidelines for Supervision V-2-2-2(1)–(5))</w:t>
      </w:r>
    </w:p>
    <w:p w14:paraId="2C934072" w14:textId="1F629FB7" w:rsidR="005E24A6" w:rsidRPr="000B3CAB" w:rsidRDefault="005E24A6" w:rsidP="005E24A6">
      <w:pPr>
        <w:rPr>
          <w:rFonts w:ascii="Arial" w:hAnsi="Arial"/>
          <w:sz w:val="22"/>
          <w:szCs w:val="22"/>
        </w:rPr>
      </w:pPr>
      <w:r w:rsidRPr="000B3CAB">
        <w:rPr>
          <w:rFonts w:ascii="Arial" w:hAnsi="Arial" w:hint="eastAsia"/>
          <w:sz w:val="22"/>
          <w:szCs w:val="22"/>
        </w:rPr>
        <w:t>（１）広告等に係る留意事項</w:t>
      </w:r>
    </w:p>
    <w:p w14:paraId="2595E595" w14:textId="01958B70" w:rsidR="00C62937" w:rsidRPr="000B3CAB" w:rsidRDefault="00C62937" w:rsidP="005E24A6">
      <w:pPr>
        <w:rPr>
          <w:rFonts w:ascii="Arial" w:hAnsi="Arial"/>
          <w:sz w:val="22"/>
          <w:szCs w:val="22"/>
        </w:rPr>
      </w:pPr>
      <w:r w:rsidRPr="000B3CAB">
        <w:rPr>
          <w:rFonts w:ascii="Arial" w:hAnsi="Arial"/>
          <w:sz w:val="22"/>
          <w:szCs w:val="22"/>
        </w:rPr>
        <w:t>(1) Points of Attention Regarding Advertisements, etc.</w:t>
      </w:r>
    </w:p>
    <w:p w14:paraId="281C3147"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①　取次ぎ等が行えるデリバティブ取引市場又は海外のデリバティブ取引市場等について誤解させるような表示をしていないか。</w:t>
      </w:r>
    </w:p>
    <w:p w14:paraId="4AC4CEF5"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lastRenderedPageBreak/>
        <w:t>②　ロスカットルールが設けられている場合であっても、相場の急激な変動により委託証拠金その他の保証金の額を上回る損失が生じることとなるおそれがある場合には、その旨が適切に表示されているか。</w:t>
      </w:r>
    </w:p>
    <w:p w14:paraId="09F0C0BB" w14:textId="6031E5AE"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③　セミナー等において、顧客がセミナー等の受講の継続を希望しない旨の意思表示を行ったにもかかわらず受講させていないか（事実上強制した場合も含む。）。この場合、法第</w:t>
      </w:r>
      <w:r w:rsidRPr="000B3CAB">
        <w:rPr>
          <w:rFonts w:ascii="Arial" w:hAnsi="Arial"/>
          <w:sz w:val="22"/>
          <w:szCs w:val="22"/>
        </w:rPr>
        <w:t>38</w:t>
      </w:r>
      <w:r w:rsidRPr="000B3CAB">
        <w:rPr>
          <w:rFonts w:ascii="Arial" w:hAnsi="Arial" w:hint="eastAsia"/>
          <w:sz w:val="22"/>
          <w:szCs w:val="22"/>
        </w:rPr>
        <w:t>条第６号（いわゆる「再勧誘の禁止」）の規定に該当することに留意するものとする。</w:t>
      </w:r>
    </w:p>
    <w:p w14:paraId="31EFF9FE" w14:textId="78761A82" w:rsidR="00C62937" w:rsidRPr="000B3CAB" w:rsidRDefault="00C62937" w:rsidP="00C62937">
      <w:pPr>
        <w:ind w:leftChars="200" w:left="709" w:hangingChars="104" w:hanging="229"/>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the market derivatives business operator uses descriptions that could cause misunderstandings regarding domestic derivatives markets, for which it can act as a broker, and overseas derivatives markets.</w:t>
      </w:r>
    </w:p>
    <w:p w14:paraId="5306EAA0" w14:textId="5505B415" w:rsidR="00C62937" w:rsidRPr="000B3CAB" w:rsidRDefault="00C62937" w:rsidP="00C62937">
      <w:pPr>
        <w:ind w:leftChars="200" w:left="709" w:hangingChars="104" w:hanging="229"/>
        <w:rPr>
          <w:rFonts w:ascii="Arial" w:hAnsi="Arial"/>
          <w:sz w:val="22"/>
          <w:szCs w:val="22"/>
        </w:rPr>
      </w:pPr>
      <w:r w:rsidRPr="000B3CAB">
        <w:rPr>
          <w:rFonts w:ascii="Arial" w:hAnsi="Arial"/>
          <w:sz w:val="22"/>
          <w:szCs w:val="22"/>
        </w:rPr>
        <w:t>(ii) In cases where losses exceeding the amount of cash margin and other deposits may arise due to rapid market movements despite the Loss-Cutting Rule, whether the market derivatives business operator properly indicates this risk in the advertisement.</w:t>
      </w:r>
    </w:p>
    <w:p w14:paraId="754538A6" w14:textId="207489ED" w:rsidR="00C62937" w:rsidRPr="000B3CAB" w:rsidRDefault="00C62937" w:rsidP="00C62937">
      <w:pPr>
        <w:ind w:leftChars="200" w:left="709" w:hangingChars="104" w:hanging="229"/>
        <w:rPr>
          <w:rFonts w:ascii="Arial" w:hAnsi="Arial"/>
          <w:sz w:val="22"/>
          <w:szCs w:val="22"/>
        </w:rPr>
      </w:pPr>
      <w:r w:rsidRPr="000B3CAB">
        <w:rPr>
          <w:rFonts w:ascii="Arial" w:hAnsi="Arial"/>
          <w:sz w:val="22"/>
          <w:szCs w:val="22"/>
        </w:rPr>
        <w:t>(iii) Whether the market derivatives business operator has forced customers to continue attending seminars and similar events despite their expression of unwillingness to do so (including cases where it has effectively forced them to do so).  It should be kept in mind that this kind of practice shall be deemed to meet the provision of Article 38(vi) of the FIEA (known as “prohibition of re-solicitation”).</w:t>
      </w:r>
    </w:p>
    <w:p w14:paraId="741E7ECD" w14:textId="77777777" w:rsidR="005E24A6" w:rsidRPr="000B3CAB" w:rsidRDefault="005E24A6" w:rsidP="00C62937">
      <w:pPr>
        <w:rPr>
          <w:rFonts w:ascii="Arial" w:hAnsi="Arial"/>
          <w:sz w:val="22"/>
          <w:szCs w:val="22"/>
        </w:rPr>
      </w:pPr>
    </w:p>
    <w:p w14:paraId="50F37981" w14:textId="1D2DA6CF" w:rsidR="005E24A6" w:rsidRPr="000B3CAB" w:rsidRDefault="005E24A6" w:rsidP="005E24A6">
      <w:pPr>
        <w:ind w:left="440" w:hangingChars="200" w:hanging="440"/>
        <w:rPr>
          <w:rFonts w:ascii="Arial" w:hAnsi="Arial"/>
          <w:sz w:val="22"/>
          <w:szCs w:val="22"/>
        </w:rPr>
      </w:pPr>
      <w:r w:rsidRPr="000B3CAB">
        <w:rPr>
          <w:rFonts w:ascii="Arial" w:hAnsi="Arial" w:hint="eastAsia"/>
          <w:sz w:val="22"/>
          <w:szCs w:val="22"/>
        </w:rPr>
        <w:t>（３）市場デリバティブ取引の勧誘方法等に関する注意喚起文書の配布に係る留意事項</w:t>
      </w:r>
    </w:p>
    <w:p w14:paraId="7B650ED7" w14:textId="39639060" w:rsidR="00F058C1" w:rsidRPr="000B3CAB" w:rsidRDefault="00F058C1" w:rsidP="00F058C1">
      <w:pPr>
        <w:ind w:left="284" w:hangingChars="129" w:hanging="284"/>
        <w:rPr>
          <w:rFonts w:ascii="Arial" w:hAnsi="Arial"/>
          <w:sz w:val="22"/>
          <w:szCs w:val="22"/>
        </w:rPr>
      </w:pPr>
      <w:r w:rsidRPr="000B3CAB">
        <w:rPr>
          <w:rFonts w:ascii="Arial" w:hAnsi="Arial"/>
          <w:sz w:val="22"/>
          <w:szCs w:val="22"/>
        </w:rPr>
        <w:t>(3) Points of Attention Regarding the Distribution of Notices of Warning Concerning the Solicitation Methods, etc. for Market Derivatives Transactions</w:t>
      </w:r>
    </w:p>
    <w:p w14:paraId="27892D98" w14:textId="03BF2D8A" w:rsidR="005E24A6" w:rsidRPr="000B3CAB" w:rsidRDefault="005E24A6" w:rsidP="00A55802">
      <w:pPr>
        <w:ind w:leftChars="100" w:left="240" w:firstLineChars="100" w:firstLine="220"/>
        <w:rPr>
          <w:rFonts w:ascii="Arial" w:hAnsi="Arial"/>
          <w:sz w:val="22"/>
          <w:szCs w:val="22"/>
        </w:rPr>
      </w:pPr>
      <w:r w:rsidRPr="000B3CAB">
        <w:rPr>
          <w:rFonts w:ascii="Arial" w:hAnsi="Arial" w:hint="eastAsia"/>
          <w:sz w:val="22"/>
          <w:szCs w:val="22"/>
        </w:rPr>
        <w:t>市場デリバティブ取引業者が、市場デリバティブ取引を行うときの顧客に対する注意喚起に係る留意事項は、Ⅳ－３－３－２（３）に準ずるものとする。</w:t>
      </w:r>
    </w:p>
    <w:p w14:paraId="5842A720" w14:textId="4FE1E5CE" w:rsidR="00A55802" w:rsidRPr="000B3CAB" w:rsidRDefault="00A55802" w:rsidP="00A55802">
      <w:pPr>
        <w:ind w:leftChars="100" w:left="240"/>
        <w:rPr>
          <w:rFonts w:ascii="Arial" w:hAnsi="Arial"/>
          <w:sz w:val="22"/>
          <w:szCs w:val="22"/>
        </w:rPr>
      </w:pPr>
      <w:r w:rsidRPr="000B3CAB">
        <w:rPr>
          <w:rFonts w:ascii="Arial" w:hAnsi="Arial"/>
          <w:sz w:val="22"/>
          <w:szCs w:val="22"/>
        </w:rPr>
        <w:t>IV-3-3-2(3) shall be applied mutatis mutandis to the points of attention regarding market derivatives business operators issuing alerts to customers when conducting market derivatives transactions.</w:t>
      </w:r>
    </w:p>
    <w:p w14:paraId="7F0262EA" w14:textId="77777777" w:rsidR="00C62937" w:rsidRPr="000B3CAB" w:rsidRDefault="00C62937" w:rsidP="00C62937">
      <w:pPr>
        <w:rPr>
          <w:rFonts w:ascii="Arial" w:hAnsi="Arial"/>
          <w:sz w:val="22"/>
          <w:szCs w:val="22"/>
        </w:rPr>
      </w:pPr>
    </w:p>
    <w:p w14:paraId="54A6F0FE" w14:textId="14FEF036" w:rsidR="005E24A6" w:rsidRPr="000B3CAB" w:rsidRDefault="005E24A6" w:rsidP="005E24A6">
      <w:pPr>
        <w:ind w:left="440" w:hangingChars="200" w:hanging="440"/>
        <w:rPr>
          <w:rFonts w:ascii="Arial" w:hAnsi="Arial"/>
          <w:sz w:val="22"/>
          <w:szCs w:val="22"/>
        </w:rPr>
      </w:pPr>
      <w:r w:rsidRPr="000B3CAB">
        <w:rPr>
          <w:rFonts w:ascii="Arial" w:hAnsi="Arial" w:hint="eastAsia"/>
          <w:sz w:val="22"/>
          <w:szCs w:val="22"/>
        </w:rPr>
        <w:t>（４）契約締結前の書面交付に係る留意事項</w:t>
      </w:r>
    </w:p>
    <w:p w14:paraId="13520F54" w14:textId="04467B68" w:rsidR="00A55802" w:rsidRPr="000B3CAB" w:rsidRDefault="00A55802" w:rsidP="005E24A6">
      <w:pPr>
        <w:ind w:left="440" w:hangingChars="200" w:hanging="440"/>
        <w:rPr>
          <w:rFonts w:ascii="Arial" w:hAnsi="Arial"/>
          <w:sz w:val="22"/>
          <w:szCs w:val="22"/>
        </w:rPr>
      </w:pPr>
      <w:r w:rsidRPr="000B3CAB">
        <w:rPr>
          <w:rFonts w:ascii="Arial" w:hAnsi="Arial"/>
          <w:sz w:val="22"/>
          <w:szCs w:val="22"/>
        </w:rPr>
        <w:t>(4) Points of Attention Regarding Provision of Pre-Contract Documents</w:t>
      </w:r>
    </w:p>
    <w:p w14:paraId="237812C6"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①　業府令第</w:t>
      </w:r>
      <w:r w:rsidRPr="000B3CAB">
        <w:rPr>
          <w:rFonts w:ascii="Arial" w:hAnsi="Arial"/>
          <w:sz w:val="22"/>
          <w:szCs w:val="22"/>
        </w:rPr>
        <w:t>82</w:t>
      </w:r>
      <w:r w:rsidRPr="000B3CAB">
        <w:rPr>
          <w:rFonts w:ascii="Arial" w:hAnsi="Arial" w:hint="eastAsia"/>
          <w:sz w:val="22"/>
          <w:szCs w:val="22"/>
        </w:rPr>
        <w:t>条第４号ロに規定する「元本超過損が生ずるおそれがある理由」には、ロスカットルールが設けられている場合であっても、相場の急激な変動により委託証拠金その他の保証金の額を上回る損失が生じることとなるおそれがある場合には、その旨を含む。</w:t>
      </w:r>
    </w:p>
    <w:p w14:paraId="3016ED5C"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②　業府令第</w:t>
      </w:r>
      <w:r w:rsidRPr="000B3CAB">
        <w:rPr>
          <w:rFonts w:ascii="Arial" w:hAnsi="Arial"/>
          <w:sz w:val="22"/>
          <w:szCs w:val="22"/>
        </w:rPr>
        <w:t>82</w:t>
      </w:r>
      <w:r w:rsidRPr="000B3CAB">
        <w:rPr>
          <w:rFonts w:ascii="Arial" w:hAnsi="Arial" w:hint="eastAsia"/>
          <w:sz w:val="22"/>
          <w:szCs w:val="22"/>
        </w:rPr>
        <w:t>条第８号に規定する「当該金融商品取引契約の終了の事由」には、ロスカットルールに関する事項を含むものとする。</w:t>
      </w:r>
    </w:p>
    <w:p w14:paraId="6870D936"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③　業府令第</w:t>
      </w:r>
      <w:r w:rsidRPr="000B3CAB">
        <w:rPr>
          <w:rFonts w:ascii="Arial" w:hAnsi="Arial"/>
          <w:sz w:val="22"/>
          <w:szCs w:val="22"/>
        </w:rPr>
        <w:t>93</w:t>
      </w:r>
      <w:r w:rsidRPr="000B3CAB">
        <w:rPr>
          <w:rFonts w:ascii="Arial" w:hAnsi="Arial" w:hint="eastAsia"/>
          <w:sz w:val="22"/>
          <w:szCs w:val="22"/>
        </w:rPr>
        <w:t>条第１項第４号に規定する「顧客が当該デリバティブ取引等に関し預託すべき委託証拠金その他の保証金の種類及び金額の計算方法」には、最低証拠金に関する事項を含むものとする。</w:t>
      </w:r>
    </w:p>
    <w:p w14:paraId="46E775D0"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④　通貨に係る取引である場合、業府令第</w:t>
      </w:r>
      <w:r w:rsidRPr="000B3CAB">
        <w:rPr>
          <w:rFonts w:ascii="Arial" w:hAnsi="Arial"/>
          <w:sz w:val="22"/>
          <w:szCs w:val="22"/>
        </w:rPr>
        <w:t>93</w:t>
      </w:r>
      <w:r w:rsidRPr="000B3CAB">
        <w:rPr>
          <w:rFonts w:ascii="Arial" w:hAnsi="Arial" w:hint="eastAsia"/>
          <w:sz w:val="22"/>
          <w:szCs w:val="22"/>
        </w:rPr>
        <w:t>条第１項第７号に規定する「デリバティブ取引に関する主要な用語及びその他の基礎的な事項」には、金融商品等の価格等の決定方法に関する事項及びスワップポイントを含むものとする。なお、スワップポイントについては、顧客が受け取る場合と支払う場合の双方があり、また、結果として損失が生じることとなるおそれがある場合に、その旨が適切に表示されているか。</w:t>
      </w:r>
    </w:p>
    <w:p w14:paraId="07344BA2" w14:textId="20DAA979" w:rsidR="00887A52" w:rsidRPr="000B3CAB" w:rsidRDefault="00887A52" w:rsidP="00887A52">
      <w:pPr>
        <w:ind w:leftChars="200" w:left="709" w:hangingChars="104" w:hanging="229"/>
        <w:rPr>
          <w:rFonts w:ascii="Arial" w:hAnsi="Arial"/>
          <w:sz w:val="22"/>
          <w:szCs w:val="22"/>
        </w:rPr>
      </w:pPr>
      <w:r w:rsidRPr="000B3CAB">
        <w:rPr>
          <w:rFonts w:ascii="Arial" w:hAnsi="Arial"/>
          <w:sz w:val="22"/>
          <w:szCs w:val="22"/>
        </w:rPr>
        <w:lastRenderedPageBreak/>
        <w:t>(</w:t>
      </w:r>
      <w:proofErr w:type="spellStart"/>
      <w:r w:rsidRPr="000B3CAB">
        <w:rPr>
          <w:rFonts w:ascii="Arial" w:hAnsi="Arial"/>
          <w:sz w:val="22"/>
          <w:szCs w:val="22"/>
        </w:rPr>
        <w:t>i</w:t>
      </w:r>
      <w:proofErr w:type="spellEnd"/>
      <w:r w:rsidRPr="000B3CAB">
        <w:rPr>
          <w:rFonts w:ascii="Arial" w:hAnsi="Arial"/>
          <w:sz w:val="22"/>
          <w:szCs w:val="22"/>
        </w:rPr>
        <w:t>) The “reasons for the possibility of a loss exceeding the principal amount,” as specified under Article 82(iv)(b) of the FIB Cabinet Office Ordinance shall include a rapid market movement that could cause a loss exceeding the principal amount despite the Loss-Cutting Rule.</w:t>
      </w:r>
    </w:p>
    <w:p w14:paraId="2E9BEB79" w14:textId="3C7E7F3E" w:rsidR="00887A52" w:rsidRPr="000B3CAB" w:rsidRDefault="00887A52" w:rsidP="00887A52">
      <w:pPr>
        <w:ind w:leftChars="200" w:left="709" w:hangingChars="104" w:hanging="229"/>
        <w:rPr>
          <w:rFonts w:ascii="Arial" w:hAnsi="Arial"/>
          <w:sz w:val="22"/>
          <w:szCs w:val="22"/>
        </w:rPr>
      </w:pPr>
      <w:r w:rsidRPr="000B3CAB">
        <w:rPr>
          <w:rFonts w:ascii="Arial" w:hAnsi="Arial"/>
          <w:sz w:val="22"/>
          <w:szCs w:val="22"/>
        </w:rPr>
        <w:t>(ii) The “reasons for the termination of the relevant financial instruments transaction contract,” as specified under Article 82(viii) of the FIB Cabinet Office Ordinance shall include items related to the Loss-Cutting Rule.</w:t>
      </w:r>
    </w:p>
    <w:p w14:paraId="059393B9" w14:textId="51F6E1C5" w:rsidR="00887A52" w:rsidRPr="000B3CAB" w:rsidRDefault="00887A52" w:rsidP="00887A52">
      <w:pPr>
        <w:ind w:leftChars="200" w:left="709" w:hangingChars="104" w:hanging="229"/>
        <w:rPr>
          <w:rFonts w:ascii="Arial" w:hAnsi="Arial"/>
          <w:sz w:val="22"/>
          <w:szCs w:val="22"/>
        </w:rPr>
      </w:pPr>
      <w:r w:rsidRPr="000B3CAB">
        <w:rPr>
          <w:rFonts w:ascii="Arial" w:hAnsi="Arial"/>
          <w:sz w:val="22"/>
          <w:szCs w:val="22"/>
        </w:rPr>
        <w:t>(iii) The “types and calculation methods of cash margin and other deposits to be made by customers with regard to the relevant derivatives transactions, etc.,” as specified under Article 93(1)(iv) of the FIB Cabinet Office Ordinance shall include items related to minimum margin deposits.</w:t>
      </w:r>
    </w:p>
    <w:p w14:paraId="389F7C36" w14:textId="7E095F1B" w:rsidR="005E24A6" w:rsidRPr="000B3CAB" w:rsidRDefault="00887A52" w:rsidP="00887A52">
      <w:pPr>
        <w:ind w:leftChars="200" w:left="709" w:hangingChars="104" w:hanging="229"/>
        <w:rPr>
          <w:rFonts w:ascii="Arial" w:hAnsi="Arial"/>
          <w:sz w:val="22"/>
          <w:szCs w:val="22"/>
        </w:rPr>
      </w:pPr>
      <w:r w:rsidRPr="000B3CAB">
        <w:rPr>
          <w:rFonts w:ascii="Arial" w:hAnsi="Arial"/>
          <w:sz w:val="22"/>
          <w:szCs w:val="22"/>
        </w:rPr>
        <w:t>(iv) Regarding currency-related transactions, the “major terms and other basic items regarding derivatives trading,” as specified under Article 93(1)(vii) of the FIB Cabinet Office Ordinance shall include items related to the method of determining prices of financial instruments, etc., and the Swap Point.  In cases where the Swap Point may be either received or paid by customers and where a loss may arise, these possibilities shall be properly indicated.</w:t>
      </w:r>
    </w:p>
    <w:p w14:paraId="46FCD2E5" w14:textId="4C23410A" w:rsidR="00C62937" w:rsidRPr="000B3CAB" w:rsidRDefault="00C62937" w:rsidP="00C62937">
      <w:pPr>
        <w:rPr>
          <w:rFonts w:ascii="Arial" w:hAnsi="Arial"/>
          <w:sz w:val="22"/>
          <w:szCs w:val="22"/>
        </w:rPr>
      </w:pPr>
    </w:p>
    <w:p w14:paraId="094609DA" w14:textId="01041DE2" w:rsidR="00867A23" w:rsidRPr="000B3CAB" w:rsidRDefault="00867A23" w:rsidP="00867A23">
      <w:pPr>
        <w:rPr>
          <w:rFonts w:ascii="Arial" w:hAnsi="Arial"/>
          <w:sz w:val="22"/>
          <w:szCs w:val="22"/>
        </w:rPr>
      </w:pPr>
      <w:r w:rsidRPr="000B3CAB">
        <w:rPr>
          <w:rFonts w:ascii="Arial" w:hAnsi="Arial" w:hint="eastAsia"/>
          <w:sz w:val="22"/>
          <w:szCs w:val="22"/>
        </w:rPr>
        <w:t>（５）通貨関連市場デリバティブ取引等業者の説明責任に係る留意事項</w:t>
      </w:r>
    </w:p>
    <w:p w14:paraId="744967D2" w14:textId="77777777" w:rsidR="00136001" w:rsidRPr="000B3CAB" w:rsidRDefault="00867A23" w:rsidP="00136001">
      <w:pPr>
        <w:ind w:leftChars="1" w:left="284" w:hangingChars="128" w:hanging="282"/>
        <w:rPr>
          <w:rFonts w:ascii="Arial" w:hAnsi="Arial"/>
          <w:sz w:val="22"/>
          <w:szCs w:val="22"/>
        </w:rPr>
      </w:pPr>
      <w:r w:rsidRPr="000B3CAB">
        <w:rPr>
          <w:rFonts w:ascii="Arial" w:hAnsi="Arial"/>
          <w:sz w:val="22"/>
          <w:szCs w:val="22"/>
        </w:rPr>
        <w:t>(5) Points of Attention Regarding the Accountability of Currency-Related Market</w:t>
      </w:r>
      <w:r w:rsidR="00136001" w:rsidRPr="000B3CAB">
        <w:rPr>
          <w:rFonts w:ascii="Arial" w:hAnsi="Arial"/>
          <w:sz w:val="22"/>
          <w:szCs w:val="22"/>
        </w:rPr>
        <w:t xml:space="preserve"> Derivatives Business Operator</w:t>
      </w:r>
    </w:p>
    <w:p w14:paraId="7FA2E648" w14:textId="679FE0CA" w:rsidR="00867A23" w:rsidRPr="000B3CAB" w:rsidRDefault="00867A23" w:rsidP="00136001">
      <w:pPr>
        <w:ind w:leftChars="117" w:left="281" w:firstLineChars="90" w:firstLine="198"/>
        <w:rPr>
          <w:rFonts w:ascii="Arial" w:hAnsi="Arial"/>
          <w:sz w:val="22"/>
          <w:szCs w:val="22"/>
        </w:rPr>
      </w:pPr>
      <w:r w:rsidRPr="000B3CAB">
        <w:rPr>
          <w:rFonts w:ascii="Arial" w:hAnsi="Arial" w:hint="eastAsia"/>
          <w:sz w:val="22"/>
          <w:szCs w:val="22"/>
        </w:rPr>
        <w:t>通貨関連市場デリバティブ取引等業者が、顧客から預託を受けた金銭を取引所に預託せずに管理する場合の説明事項に係る留意事項は、Ⅳ－３－３－２（４）⑥に準ずるものとする。また、通貨関連市場デリバティブ取引等業者が行うロスカット取引に関する説明事項に係る留意事項は、Ⅳ－３－３－２（４）⑦に準ずるものとする。</w:t>
      </w:r>
    </w:p>
    <w:p w14:paraId="7F830514" w14:textId="588AF65E" w:rsidR="00867A23" w:rsidRPr="000B3CAB" w:rsidRDefault="00867A23" w:rsidP="00136001">
      <w:pPr>
        <w:ind w:leftChars="100" w:left="240"/>
        <w:rPr>
          <w:rFonts w:ascii="Arial" w:hAnsi="Arial"/>
          <w:sz w:val="22"/>
          <w:szCs w:val="22"/>
        </w:rPr>
      </w:pPr>
      <w:r w:rsidRPr="000B3CAB">
        <w:rPr>
          <w:rFonts w:ascii="Arial" w:hAnsi="Arial"/>
          <w:sz w:val="22"/>
          <w:szCs w:val="22"/>
        </w:rPr>
        <w:t xml:space="preserve">IV-3-3-2(4)(vi) shall be applied mutatis mutandis to points of attention regarding matters to be explained in cases where a currency-related market derivatives business operator manages the money deposited by customers without depositing it </w:t>
      </w:r>
      <w:r w:rsidR="00B83801" w:rsidRPr="000B3CAB">
        <w:rPr>
          <w:rFonts w:ascii="Arial" w:hAnsi="Arial" w:hint="eastAsia"/>
          <w:sz w:val="22"/>
          <w:szCs w:val="22"/>
        </w:rPr>
        <w:t>to</w:t>
      </w:r>
      <w:r w:rsidRPr="000B3CAB">
        <w:rPr>
          <w:rFonts w:ascii="Arial" w:hAnsi="Arial"/>
          <w:sz w:val="22"/>
          <w:szCs w:val="22"/>
        </w:rPr>
        <w:t xml:space="preserve"> an exchange.</w:t>
      </w:r>
      <w:r w:rsidR="00136001" w:rsidRPr="000B3CAB">
        <w:rPr>
          <w:rFonts w:ascii="Arial" w:hAnsi="Arial"/>
          <w:sz w:val="22"/>
          <w:szCs w:val="22"/>
        </w:rPr>
        <w:t xml:space="preserve"> </w:t>
      </w:r>
      <w:r w:rsidRPr="000B3CAB">
        <w:rPr>
          <w:rFonts w:ascii="Arial" w:hAnsi="Arial"/>
          <w:sz w:val="22"/>
          <w:szCs w:val="22"/>
        </w:rPr>
        <w:t xml:space="preserve"> Also, IV-3-3-2(4)(vii) shall be applied mutatis mutandis to points of attention regarding explanations on loss-cut transactions that are conducted by currency-related market derivatives business operators.</w:t>
      </w:r>
    </w:p>
    <w:p w14:paraId="37C360D0" w14:textId="62510F1A" w:rsidR="00C62937" w:rsidRPr="000B3CAB" w:rsidRDefault="00C62937" w:rsidP="00C62937">
      <w:pPr>
        <w:rPr>
          <w:rFonts w:ascii="Arial" w:hAnsi="Arial"/>
          <w:sz w:val="22"/>
          <w:szCs w:val="22"/>
        </w:rPr>
      </w:pPr>
    </w:p>
    <w:p w14:paraId="5ABD48B0" w14:textId="77777777" w:rsidR="00136001" w:rsidRPr="000B3CAB" w:rsidRDefault="00136001" w:rsidP="00C62937">
      <w:pPr>
        <w:rPr>
          <w:rFonts w:ascii="Arial" w:hAnsi="Arial"/>
          <w:sz w:val="22"/>
          <w:szCs w:val="22"/>
        </w:rPr>
      </w:pPr>
    </w:p>
    <w:p w14:paraId="596D00AD" w14:textId="5407C82F" w:rsidR="005E24A6" w:rsidRPr="000B3CAB" w:rsidRDefault="005E24A6" w:rsidP="007E02EA">
      <w:pPr>
        <w:ind w:leftChars="100" w:left="240" w:firstLineChars="20" w:firstLine="44"/>
        <w:rPr>
          <w:rFonts w:ascii="Arial" w:hAnsi="Arial"/>
          <w:sz w:val="22"/>
          <w:szCs w:val="22"/>
        </w:rPr>
      </w:pPr>
      <w:r w:rsidRPr="000B3CAB">
        <w:rPr>
          <w:rFonts w:ascii="Arial" w:hAnsi="Arial" w:hint="eastAsia"/>
          <w:sz w:val="22"/>
          <w:szCs w:val="22"/>
        </w:rPr>
        <w:t>取引一任契約等（監督指針Ⅴ－２－２－４（</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2</w:t>
      </w:r>
      <w:r w:rsidRPr="000B3CAB">
        <w:rPr>
          <w:rFonts w:ascii="Arial" w:hAnsi="Arial" w:hint="eastAsia"/>
          <w:sz w:val="22"/>
          <w:szCs w:val="22"/>
        </w:rPr>
        <w:t>））</w:t>
      </w:r>
    </w:p>
    <w:p w14:paraId="5F542D66" w14:textId="3FCAF4F4" w:rsidR="00A33DD5" w:rsidRPr="001A1FD7" w:rsidRDefault="00867A23" w:rsidP="001A1FD7">
      <w:pPr>
        <w:ind w:leftChars="100" w:left="240" w:firstLineChars="20" w:firstLine="44"/>
        <w:rPr>
          <w:rFonts w:ascii="Arial" w:hAnsi="Arial" w:hint="eastAsia"/>
          <w:sz w:val="22"/>
          <w:szCs w:val="22"/>
        </w:rPr>
      </w:pPr>
      <w:r w:rsidRPr="000B3CAB">
        <w:rPr>
          <w:rFonts w:ascii="Arial" w:hAnsi="Arial"/>
          <w:sz w:val="22"/>
          <w:szCs w:val="22"/>
        </w:rPr>
        <w:t>Discretionary trading contracts, etc. (Guidelines for Supervision V-2-2-4(1), (2))</w:t>
      </w:r>
      <w:bookmarkStart w:id="0" w:name="_GoBack"/>
      <w:bookmarkEnd w:id="0"/>
    </w:p>
    <w:sectPr w:rsidR="00A33DD5" w:rsidRPr="001A1FD7"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00DAC9E4"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1A1FD7" w:rsidRPr="001A1FD7">
      <w:rPr>
        <w:rFonts w:ascii="Arial" w:hAnsi="Arial" w:cs="Arial"/>
        <w:noProof/>
        <w:sz w:val="20"/>
        <w:lang w:val="ja-JP"/>
      </w:rPr>
      <w:t>-</w:t>
    </w:r>
    <w:r w:rsidR="001A1FD7">
      <w:rPr>
        <w:rFonts w:ascii="Arial" w:hAnsi="Arial" w:cs="Arial"/>
        <w:noProof/>
        <w:sz w:val="20"/>
      </w:rPr>
      <w:t xml:space="preserve"> 1 -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A1FD7"/>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5108C"/>
    <w:rsid w:val="0045515E"/>
    <w:rsid w:val="004571F9"/>
    <w:rsid w:val="004607F1"/>
    <w:rsid w:val="00460C30"/>
    <w:rsid w:val="00463C34"/>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33D52"/>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724C-9CE7-4DAF-9F47-4DC32A82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3162</Words>
  <Characters>6065</Characters>
  <DocSecurity>0</DocSecurity>
  <Lines>50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2023-11-15T05:06:00Z</dcterms:modified>
</cp:coreProperties>
</file>