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35D9" w14:textId="77777777" w:rsidR="004D6C51" w:rsidRPr="000B3CAB" w:rsidRDefault="004D6C51" w:rsidP="004D6C51">
      <w:pPr>
        <w:ind w:left="221" w:hangingChars="100" w:hanging="221"/>
        <w:rPr>
          <w:rFonts w:ascii="Arial" w:hAnsi="Arial"/>
          <w:b/>
          <w:sz w:val="22"/>
        </w:rPr>
      </w:pPr>
      <w:r w:rsidRPr="000B3CAB">
        <w:rPr>
          <w:rFonts w:ascii="Arial" w:hAnsi="Arial" w:hint="eastAsia"/>
          <w:b/>
          <w:sz w:val="22"/>
        </w:rPr>
        <w:t>質問表別紙（第二種金融商品取引業用）</w:t>
      </w:r>
    </w:p>
    <w:p w14:paraId="32279D0D" w14:textId="77777777" w:rsidR="004D6C51" w:rsidRPr="000B3CAB" w:rsidRDefault="004D6C51" w:rsidP="004D6C51">
      <w:pPr>
        <w:ind w:left="221" w:hangingChars="100" w:hanging="221"/>
        <w:rPr>
          <w:rFonts w:ascii="Arial" w:hAnsi="Arial"/>
          <w:b/>
          <w:sz w:val="22"/>
          <w:szCs w:val="22"/>
        </w:rPr>
      </w:pPr>
      <w:r w:rsidRPr="000B3CAB">
        <w:rPr>
          <w:rFonts w:ascii="Arial" w:hAnsi="Arial"/>
          <w:b/>
          <w:sz w:val="22"/>
          <w:szCs w:val="22"/>
        </w:rPr>
        <w:t>Questionnaire Sheet (for Type II Financial Instruments Business)</w:t>
      </w:r>
    </w:p>
    <w:p w14:paraId="34C0BFAF" w14:textId="77777777" w:rsidR="004D6C51" w:rsidRPr="000B3CAB" w:rsidRDefault="004D6C51" w:rsidP="004D6C51">
      <w:pPr>
        <w:ind w:left="220" w:hangingChars="100" w:hanging="220"/>
        <w:rPr>
          <w:rFonts w:ascii="Arial" w:hAnsi="Arial"/>
          <w:sz w:val="22"/>
          <w:szCs w:val="22"/>
        </w:rPr>
      </w:pPr>
    </w:p>
    <w:p w14:paraId="61866CBF" w14:textId="77777777" w:rsidR="004D6C51" w:rsidRPr="000B3CAB" w:rsidRDefault="004D6C51" w:rsidP="004D6C51">
      <w:pPr>
        <w:ind w:left="220" w:hangingChars="100" w:hanging="220"/>
        <w:rPr>
          <w:rFonts w:ascii="Arial" w:hAnsi="Arial"/>
          <w:sz w:val="22"/>
          <w:szCs w:val="22"/>
        </w:rPr>
      </w:pPr>
      <w:r w:rsidRPr="000B3CAB">
        <w:rPr>
          <w:rFonts w:ascii="Arial" w:hAnsi="Arial" w:hint="eastAsia"/>
          <w:sz w:val="22"/>
          <w:szCs w:val="22"/>
        </w:rPr>
        <w:t>※以下の事項について、該当する社内規則に基づいて、当社の対応の概要を記載すること。</w:t>
      </w:r>
    </w:p>
    <w:p w14:paraId="7D06C2DC" w14:textId="77777777" w:rsidR="004D6C51" w:rsidRPr="000B3CAB" w:rsidRDefault="004D6C51" w:rsidP="004D6C51">
      <w:pPr>
        <w:ind w:leftChars="100" w:left="240"/>
        <w:rPr>
          <w:rFonts w:ascii="Arial" w:hAnsi="Arial"/>
          <w:sz w:val="22"/>
          <w:szCs w:val="22"/>
        </w:rPr>
      </w:pPr>
      <w:r w:rsidRPr="000B3CAB">
        <w:rPr>
          <w:rFonts w:ascii="Arial" w:hAnsi="Arial" w:hint="eastAsia"/>
          <w:sz w:val="22"/>
          <w:szCs w:val="22"/>
        </w:rPr>
        <w:t>なお、該当しない場合は、「該当なし」と記載すること。</w:t>
      </w:r>
    </w:p>
    <w:p w14:paraId="076E6C35" w14:textId="77777777" w:rsidR="004D6C51" w:rsidRPr="000B3CAB" w:rsidRDefault="004D6C51" w:rsidP="004D6C51">
      <w:pPr>
        <w:ind w:left="141" w:hangingChars="64" w:hanging="141"/>
        <w:rPr>
          <w:rFonts w:ascii="Arial" w:hAnsi="Arial"/>
          <w:sz w:val="22"/>
          <w:szCs w:val="22"/>
        </w:rPr>
      </w:pPr>
      <w:r w:rsidRPr="000B3CAB">
        <w:rPr>
          <w:rFonts w:ascii="Arial" w:hAnsi="Arial" w:hint="eastAsia"/>
          <w:sz w:val="22"/>
          <w:szCs w:val="22"/>
        </w:rPr>
        <w:t>*</w:t>
      </w:r>
      <w:r w:rsidRPr="000B3CAB">
        <w:rPr>
          <w:rFonts w:ascii="Arial" w:hAnsi="Arial" w:cs="Arial"/>
          <w:sz w:val="22"/>
          <w:szCs w:val="22"/>
        </w:rPr>
        <w:t>Provide a summary of your response to the following matters in accordance with your relevant company rules.  Put “Not applicable.” for any item that is not applicable to you</w:t>
      </w:r>
      <w:r w:rsidRPr="000B3CAB">
        <w:rPr>
          <w:rFonts w:ascii="Arial" w:hAnsi="Arial"/>
          <w:sz w:val="22"/>
          <w:szCs w:val="22"/>
        </w:rPr>
        <w:t>.</w:t>
      </w:r>
    </w:p>
    <w:p w14:paraId="0A49083F" w14:textId="77777777" w:rsidR="005E24A6" w:rsidRPr="000B3CAB" w:rsidRDefault="005E24A6" w:rsidP="005E24A6">
      <w:pPr>
        <w:ind w:left="220" w:hangingChars="100" w:hanging="220"/>
        <w:rPr>
          <w:rFonts w:ascii="Arial" w:hAnsi="Arial"/>
          <w:sz w:val="22"/>
          <w:szCs w:val="22"/>
        </w:rPr>
      </w:pPr>
    </w:p>
    <w:p w14:paraId="2ECE0DB6" w14:textId="4D70A768"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４．電子募集取扱業務を行う金融商品取引業者に係る業務の適切性</w:t>
      </w:r>
    </w:p>
    <w:p w14:paraId="16505C55" w14:textId="77777777" w:rsidR="00156C2E" w:rsidRPr="000B3CAB" w:rsidRDefault="00156C2E" w:rsidP="00156C2E">
      <w:pPr>
        <w:ind w:left="220" w:hangingChars="100" w:hanging="220"/>
        <w:rPr>
          <w:rFonts w:ascii="Arial" w:hAnsi="Arial"/>
          <w:sz w:val="22"/>
          <w:szCs w:val="22"/>
        </w:rPr>
      </w:pPr>
      <w:r w:rsidRPr="000B3CAB">
        <w:rPr>
          <w:rFonts w:ascii="Arial" w:hAnsi="Arial"/>
          <w:sz w:val="22"/>
          <w:szCs w:val="22"/>
        </w:rPr>
        <w:t>4. Appropriateness of business operations related to financial instruments business operators who handle electronic public offering services</w:t>
      </w:r>
    </w:p>
    <w:p w14:paraId="31F0DB21" w14:textId="63C8C5B6"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（１）電子募集取扱業務の適切性（監督指針Ⅴ－２－４－２）</w:t>
      </w:r>
    </w:p>
    <w:p w14:paraId="668E5BD8" w14:textId="77777777" w:rsidR="00156C2E" w:rsidRPr="000B3CAB" w:rsidRDefault="00156C2E" w:rsidP="00156C2E">
      <w:pPr>
        <w:ind w:left="220" w:hangingChars="100" w:hanging="220"/>
        <w:rPr>
          <w:rFonts w:ascii="Arial" w:hAnsi="Arial"/>
          <w:sz w:val="22"/>
          <w:szCs w:val="22"/>
        </w:rPr>
      </w:pPr>
      <w:r w:rsidRPr="000B3CAB">
        <w:rPr>
          <w:rFonts w:ascii="Arial" w:hAnsi="Arial"/>
          <w:sz w:val="22"/>
          <w:szCs w:val="22"/>
        </w:rPr>
        <w:t>(1) Appropriateness of electronic public offering services (Guidelines for Supervision V-2-4-2)</w:t>
      </w:r>
    </w:p>
    <w:p w14:paraId="00135CEE" w14:textId="2FC6A297" w:rsidR="005E24A6" w:rsidRPr="000B3CAB" w:rsidRDefault="005E24A6" w:rsidP="00156C2E">
      <w:pPr>
        <w:ind w:leftChars="100" w:left="460" w:hangingChars="100" w:hanging="220"/>
        <w:rPr>
          <w:rFonts w:ascii="Arial" w:hAnsi="Arial"/>
          <w:sz w:val="22"/>
          <w:szCs w:val="22"/>
        </w:rPr>
      </w:pPr>
      <w:r w:rsidRPr="000B3CAB">
        <w:rPr>
          <w:rFonts w:ascii="Arial" w:hAnsi="Arial" w:hint="eastAsia"/>
          <w:sz w:val="22"/>
          <w:szCs w:val="22"/>
        </w:rPr>
        <w:t>法令等遵守態勢（監督指針Ⅴ－２－４－２－１）</w:t>
      </w:r>
    </w:p>
    <w:p w14:paraId="72584F5F" w14:textId="76F288DD" w:rsidR="00156C2E" w:rsidRPr="000B3CAB" w:rsidRDefault="00156C2E" w:rsidP="00156C2E">
      <w:pPr>
        <w:ind w:leftChars="100" w:left="460" w:hangingChars="100" w:hanging="220"/>
        <w:rPr>
          <w:rFonts w:ascii="Arial" w:hAnsi="Arial"/>
          <w:sz w:val="22"/>
          <w:szCs w:val="22"/>
        </w:rPr>
      </w:pPr>
      <w:r w:rsidRPr="000B3CAB">
        <w:rPr>
          <w:rFonts w:ascii="Arial" w:hAnsi="Arial"/>
          <w:sz w:val="22"/>
          <w:szCs w:val="22"/>
        </w:rPr>
        <w:t>Control environment for legal compliance (Guidelines for Supervision V-2-4-2-1)</w:t>
      </w:r>
    </w:p>
    <w:p w14:paraId="01E0C512" w14:textId="77777777" w:rsidR="005E24A6" w:rsidRPr="000B3CAB" w:rsidRDefault="005E24A6" w:rsidP="005E24A6">
      <w:pPr>
        <w:ind w:leftChars="100" w:left="240" w:firstLineChars="100" w:firstLine="220"/>
        <w:rPr>
          <w:rFonts w:ascii="Arial" w:hAnsi="Arial"/>
          <w:sz w:val="22"/>
          <w:szCs w:val="22"/>
        </w:rPr>
      </w:pPr>
      <w:r w:rsidRPr="000B3CAB">
        <w:rPr>
          <w:rFonts w:ascii="Arial" w:hAnsi="Arial" w:hint="eastAsia"/>
          <w:sz w:val="22"/>
          <w:szCs w:val="22"/>
        </w:rPr>
        <w:t>金融商品取引業者は、法令や業務上の諸規則を厳格に遵守し、健全かつ適切な業務運営に努めることが強く求められている。金融商品取引業者のコンプライアンス態勢の整備については、その業容に応じて、例えば以下のような点に留意して検証することとする。（監督指針Ⅲ－２－１）</w:t>
      </w:r>
    </w:p>
    <w:p w14:paraId="26F4F645" w14:textId="77777777" w:rsidR="005E24A6" w:rsidRPr="000B3CAB" w:rsidRDefault="005E24A6" w:rsidP="004731FC">
      <w:pPr>
        <w:ind w:leftChars="203" w:left="707" w:hangingChars="100" w:hanging="220"/>
        <w:rPr>
          <w:rFonts w:ascii="Arial" w:hAnsi="Arial"/>
          <w:sz w:val="22"/>
          <w:szCs w:val="22"/>
        </w:rPr>
      </w:pPr>
      <w:r w:rsidRPr="000B3CAB">
        <w:rPr>
          <w:rFonts w:ascii="Arial" w:hAnsi="Arial" w:hint="eastAsia"/>
          <w:sz w:val="22"/>
          <w:szCs w:val="22"/>
        </w:rPr>
        <w:t>①　コンプライアンスが経営の最重要課題の一つとして位置付けられ、その実践に係る基本的な方針、更に具体的な実践計画（コンプライアンス・プログラム）や行動規範（倫理規程、コンプライアンス・マニュアル）等が策定されているか。また、これらの方針等は役職員に対してその存在及び内容について周知徹底が図られ、十分に理解されるとともに日常の業務運営において実践されているか。</w:t>
      </w:r>
    </w:p>
    <w:p w14:paraId="59D03085" w14:textId="77777777" w:rsidR="005E24A6" w:rsidRPr="000B3CAB" w:rsidRDefault="005E24A6" w:rsidP="004731FC">
      <w:pPr>
        <w:ind w:leftChars="203" w:left="707" w:hangingChars="100" w:hanging="220"/>
        <w:rPr>
          <w:rFonts w:ascii="Arial" w:hAnsi="Arial"/>
          <w:sz w:val="22"/>
          <w:szCs w:val="22"/>
        </w:rPr>
      </w:pPr>
      <w:r w:rsidRPr="000B3CAB">
        <w:rPr>
          <w:rFonts w:ascii="Arial" w:hAnsi="Arial" w:hint="eastAsia"/>
          <w:sz w:val="22"/>
          <w:szCs w:val="22"/>
        </w:rPr>
        <w:t>②　実践計画や行動規範は、定期的又は必要に応じ随時に、評価及びフォローアップが行われているか。また、内容の見直しが行われているか。</w:t>
      </w:r>
    </w:p>
    <w:p w14:paraId="5B6EA9C1" w14:textId="77777777" w:rsidR="005E24A6" w:rsidRPr="000B3CAB" w:rsidRDefault="005E24A6" w:rsidP="004731FC">
      <w:pPr>
        <w:ind w:leftChars="203" w:left="707" w:hangingChars="100" w:hanging="220"/>
        <w:rPr>
          <w:rFonts w:ascii="Arial" w:hAnsi="Arial"/>
          <w:sz w:val="22"/>
          <w:szCs w:val="22"/>
        </w:rPr>
      </w:pPr>
      <w:r w:rsidRPr="000B3CAB">
        <w:rPr>
          <w:rFonts w:ascii="Arial" w:hAnsi="Arial" w:hint="eastAsia"/>
          <w:sz w:val="22"/>
          <w:szCs w:val="22"/>
        </w:rPr>
        <w:t>③　コンプライアンス関連の情報が、営業を行う部門（主として収益をあげるための業務を行う全ての部門をいう。以下「営業部門」という。）、コンプライアンス担当部署／担当者、経営陣の間で、的確に連絡・報告される体制となっているか。</w:t>
      </w:r>
    </w:p>
    <w:p w14:paraId="41DBD1F3" w14:textId="77777777" w:rsidR="005E24A6" w:rsidRPr="000B3CAB" w:rsidRDefault="005E24A6" w:rsidP="004731FC">
      <w:pPr>
        <w:ind w:leftChars="203" w:left="707" w:hangingChars="100" w:hanging="220"/>
        <w:rPr>
          <w:rFonts w:ascii="Arial" w:hAnsi="Arial"/>
          <w:sz w:val="22"/>
          <w:szCs w:val="22"/>
        </w:rPr>
      </w:pPr>
      <w:r w:rsidRPr="000B3CAB">
        <w:rPr>
          <w:rFonts w:ascii="Arial" w:hAnsi="Arial" w:hint="eastAsia"/>
          <w:sz w:val="22"/>
          <w:szCs w:val="22"/>
        </w:rPr>
        <w:t>④　コンプライアンスに関する研修・教育体制が確立・充実され、役職員のコンプライアンス意識の醸成・向上に努めているか。また、研修の評価及びフォローアップが適宜行われ、内容の見直しを行うなど、実効性の確保に努めているか。</w:t>
      </w:r>
    </w:p>
    <w:p w14:paraId="386C2F29" w14:textId="77777777" w:rsidR="005E24A6" w:rsidRPr="000B3CAB" w:rsidRDefault="005E24A6" w:rsidP="004731FC">
      <w:pPr>
        <w:ind w:leftChars="203" w:left="707" w:hangingChars="100" w:hanging="220"/>
        <w:rPr>
          <w:rFonts w:ascii="Arial" w:hAnsi="Arial"/>
          <w:sz w:val="22"/>
          <w:szCs w:val="22"/>
        </w:rPr>
      </w:pPr>
      <w:r w:rsidRPr="000B3CAB">
        <w:rPr>
          <w:rFonts w:ascii="Arial" w:hAnsi="Arial" w:hint="eastAsia"/>
          <w:sz w:val="22"/>
          <w:szCs w:val="22"/>
        </w:rPr>
        <w:t>⑤　金融商品取引業者の内部管理態勢を強化し、適正な業務の遂行に資するため、金融商品取引業者における法令諸規則等の遵守状況を管理する業務を担う者（施行令第</w:t>
      </w:r>
      <w:r w:rsidRPr="000B3CAB">
        <w:rPr>
          <w:rFonts w:ascii="Arial" w:hAnsi="Arial"/>
          <w:sz w:val="22"/>
          <w:szCs w:val="22"/>
        </w:rPr>
        <w:t>15</w:t>
      </w:r>
      <w:r w:rsidRPr="000B3CAB">
        <w:rPr>
          <w:rFonts w:ascii="Arial" w:hAnsi="Arial" w:hint="eastAsia"/>
          <w:sz w:val="22"/>
          <w:szCs w:val="22"/>
        </w:rPr>
        <w:t>条の４第１号に規定する者をいう。）の機能が十分に発揮される態勢となっているか。例えば、内部管理部門の独立性を確保するとともに、営業部門に対する牽制機能を十分発揮するための権限を付与する等しているか。また、内部管理責任者等の機能の発揮状況について、内部監査部門により、その評価及びフォローアップが行われているか。</w:t>
      </w:r>
    </w:p>
    <w:p w14:paraId="7711FBC0" w14:textId="1BD752AE" w:rsidR="00BD4089" w:rsidRPr="000B3CAB" w:rsidRDefault="00BD4089" w:rsidP="00BD4089">
      <w:pPr>
        <w:ind w:leftChars="100" w:left="242" w:hanging="2"/>
        <w:rPr>
          <w:rFonts w:ascii="Arial" w:hAnsi="Arial"/>
          <w:sz w:val="22"/>
          <w:szCs w:val="22"/>
        </w:rPr>
      </w:pPr>
      <w:r w:rsidRPr="000B3CAB">
        <w:rPr>
          <w:rFonts w:ascii="Arial" w:hAnsi="Arial"/>
          <w:sz w:val="22"/>
          <w:szCs w:val="22"/>
        </w:rPr>
        <w:t>Financial instruments business operators must make sure to strictly comply with laws and regulations as well as business rules and maintain sound and appropriate business operations.</w:t>
      </w:r>
      <w:r w:rsidR="00A47277" w:rsidRPr="000B3CAB">
        <w:rPr>
          <w:rFonts w:ascii="Arial" w:hAnsi="Arial"/>
          <w:sz w:val="22"/>
          <w:szCs w:val="22"/>
        </w:rPr>
        <w:t xml:space="preserve"> </w:t>
      </w:r>
      <w:r w:rsidRPr="000B3CAB">
        <w:rPr>
          <w:rFonts w:ascii="Arial" w:hAnsi="Arial"/>
          <w:sz w:val="22"/>
          <w:szCs w:val="22"/>
        </w:rPr>
        <w:t xml:space="preserve"> The development of the control environment for legal compliance by Financial Instruments Business Operators shall be examined in light of their business profile with due consideration of the following points, for example.</w:t>
      </w:r>
      <w:r w:rsidR="00A47277" w:rsidRPr="000B3CAB">
        <w:rPr>
          <w:rFonts w:ascii="Arial" w:hAnsi="Arial"/>
          <w:sz w:val="22"/>
          <w:szCs w:val="22"/>
        </w:rPr>
        <w:t xml:space="preserve"> (Guidelines for Supervision III-2-1)</w:t>
      </w:r>
    </w:p>
    <w:p w14:paraId="4FA7DFB6" w14:textId="684D2B82" w:rsidR="00BD4089" w:rsidRPr="000B3CAB" w:rsidRDefault="00BD4089" w:rsidP="00BD4089">
      <w:pPr>
        <w:ind w:leftChars="200" w:left="700" w:hangingChars="100" w:hanging="220"/>
        <w:rPr>
          <w:rFonts w:ascii="Arial" w:hAnsi="Arial"/>
          <w:sz w:val="22"/>
          <w:szCs w:val="22"/>
        </w:rPr>
      </w:pPr>
      <w:r w:rsidRPr="000B3CAB">
        <w:rPr>
          <w:rFonts w:ascii="Arial" w:hAnsi="Arial"/>
          <w:sz w:val="22"/>
          <w:szCs w:val="22"/>
        </w:rPr>
        <w:lastRenderedPageBreak/>
        <w:t>(</w:t>
      </w:r>
      <w:proofErr w:type="spellStart"/>
      <w:r w:rsidRPr="000B3CAB">
        <w:rPr>
          <w:rFonts w:ascii="Arial" w:hAnsi="Arial"/>
          <w:sz w:val="22"/>
          <w:szCs w:val="22"/>
        </w:rPr>
        <w:t>i</w:t>
      </w:r>
      <w:proofErr w:type="spellEnd"/>
      <w:r w:rsidRPr="000B3CAB">
        <w:rPr>
          <w:rFonts w:ascii="Arial" w:hAnsi="Arial"/>
          <w:sz w:val="22"/>
          <w:szCs w:val="22"/>
        </w:rPr>
        <w:t>) Whether the Financial Instruments Business Operator has counted compliance as one of the most important management issues and formulated a basic policy concerning the implementation of compliance, a comprehensive implementation plan (compliance program) and a code of conduct (rules concerning ethics and a compliance manual, etc.). In addition, whether it has informed all officers and employees of the existence and contents of the implementation policy, etc., and ensured a full understanding thereof and the implementation of compliance in daily business operations.</w:t>
      </w:r>
    </w:p>
    <w:p w14:paraId="56976623" w14:textId="16A3B2F8" w:rsidR="00BD4089" w:rsidRPr="000B3CAB" w:rsidRDefault="00BD4089" w:rsidP="00BD4089">
      <w:pPr>
        <w:ind w:leftChars="200" w:left="700" w:hangingChars="100" w:hanging="220"/>
        <w:rPr>
          <w:rFonts w:ascii="Arial" w:hAnsi="Arial"/>
          <w:sz w:val="22"/>
          <w:szCs w:val="22"/>
        </w:rPr>
      </w:pPr>
      <w:r w:rsidRPr="000B3CAB">
        <w:rPr>
          <w:rFonts w:ascii="Arial" w:hAnsi="Arial"/>
          <w:sz w:val="22"/>
          <w:szCs w:val="22"/>
        </w:rPr>
        <w:t>(ii) Whether the Financial Instruments Business Operator conducts evaluation and a follow-up regarding the implementation policy and the code of conduct on a periodic or as-needed basis. Whether it reviews and revises the contents thereof.</w:t>
      </w:r>
    </w:p>
    <w:p w14:paraId="4C5F1423" w14:textId="0625C509" w:rsidR="00BD4089" w:rsidRPr="000B3CAB" w:rsidRDefault="00BD4089" w:rsidP="00BD4089">
      <w:pPr>
        <w:ind w:leftChars="200" w:left="700" w:hangingChars="100" w:hanging="220"/>
        <w:rPr>
          <w:rFonts w:ascii="Arial" w:hAnsi="Arial"/>
          <w:sz w:val="22"/>
          <w:szCs w:val="22"/>
        </w:rPr>
      </w:pPr>
      <w:r w:rsidRPr="000B3CAB">
        <w:rPr>
          <w:rFonts w:ascii="Arial" w:hAnsi="Arial"/>
          <w:sz w:val="22"/>
          <w:szCs w:val="22"/>
        </w:rPr>
        <w:t>(iii) Whether the Financial Instruments Business Operator has established a system for ensuring appropriate communications and reporting of compliance-related information among divisions in charge of sales (which refer to all divisions engaged mainly in profit-generating business operations; hereinafter referred to as “sales divisions”), the division/manager in charge of compliance and the management team.</w:t>
      </w:r>
    </w:p>
    <w:p w14:paraId="6694A92B" w14:textId="60E3C050" w:rsidR="00BD4089" w:rsidRPr="000B3CAB" w:rsidRDefault="00BD4089" w:rsidP="00BD4089">
      <w:pPr>
        <w:ind w:leftChars="200" w:left="700" w:hangingChars="100" w:hanging="220"/>
        <w:rPr>
          <w:rFonts w:ascii="Arial" w:hAnsi="Arial"/>
          <w:sz w:val="22"/>
          <w:szCs w:val="22"/>
        </w:rPr>
      </w:pPr>
      <w:r w:rsidRPr="000B3CAB">
        <w:rPr>
          <w:rFonts w:ascii="Arial" w:hAnsi="Arial"/>
          <w:sz w:val="22"/>
          <w:szCs w:val="22"/>
        </w:rPr>
        <w:t>(iv) Whether the Financial Instruments Business Operator has established robust systems for training and educating officers and employees on compliance and strives to foster and enhance a sense of compliance among officers and employees. In addition, whether it strives to ensure the effectiveness of training by, for example, conducting evaluation and follow-up in a timely manner and by reviewing and revising the contents thereof.</w:t>
      </w:r>
    </w:p>
    <w:p w14:paraId="295A024D" w14:textId="693E0116" w:rsidR="005E24A6" w:rsidRPr="000B3CAB" w:rsidRDefault="00BD4089" w:rsidP="00BD4089">
      <w:pPr>
        <w:ind w:leftChars="200" w:left="700" w:hangingChars="100" w:hanging="220"/>
        <w:rPr>
          <w:rFonts w:ascii="Arial" w:hAnsi="Arial"/>
          <w:sz w:val="22"/>
          <w:szCs w:val="22"/>
        </w:rPr>
      </w:pPr>
      <w:r w:rsidRPr="000B3CAB">
        <w:rPr>
          <w:rFonts w:ascii="Arial" w:hAnsi="Arial"/>
          <w:sz w:val="22"/>
          <w:szCs w:val="22"/>
        </w:rPr>
        <w:t>(v) Whether the Financial Instruments Business Operator has established a system for enabling the person in charge of supervising the status of compliance with laws, regulations, rules, etc. (the person specified by Article 15-4(</w:t>
      </w:r>
      <w:proofErr w:type="spellStart"/>
      <w:r w:rsidRPr="000B3CAB">
        <w:rPr>
          <w:rFonts w:ascii="Arial" w:hAnsi="Arial"/>
          <w:sz w:val="22"/>
          <w:szCs w:val="22"/>
        </w:rPr>
        <w:t>i</w:t>
      </w:r>
      <w:proofErr w:type="spellEnd"/>
      <w:r w:rsidRPr="000B3CAB">
        <w:rPr>
          <w:rFonts w:ascii="Arial" w:hAnsi="Arial"/>
          <w:sz w:val="22"/>
          <w:szCs w:val="22"/>
        </w:rPr>
        <w:t>) of the FIEA Enforcement Order) to perform his or her functions fully so as to enhance the internal control environment and contribute to appropriate business execution. For example, whether it ensures independence of the internal control division and gives the internal control division the authority to fully perform the function to check the sales division. Whether the internal control division conducts an evaluation and follow-up regarding the status of performance of the function of the manager in charge of internal control, etc.</w:t>
      </w:r>
    </w:p>
    <w:p w14:paraId="5C9105FF" w14:textId="77777777" w:rsidR="004731FC" w:rsidRPr="000B3CAB" w:rsidRDefault="004731FC" w:rsidP="005E24A6">
      <w:pPr>
        <w:ind w:left="220" w:hangingChars="100" w:hanging="220"/>
        <w:rPr>
          <w:rFonts w:ascii="Arial" w:hAnsi="Arial"/>
          <w:sz w:val="22"/>
          <w:szCs w:val="22"/>
        </w:rPr>
      </w:pPr>
    </w:p>
    <w:p w14:paraId="7D17059B" w14:textId="75BF7091" w:rsidR="005E24A6" w:rsidRPr="000B3CAB" w:rsidRDefault="005E24A6" w:rsidP="003034C5">
      <w:pPr>
        <w:ind w:leftChars="100" w:left="460" w:hangingChars="100" w:hanging="220"/>
        <w:rPr>
          <w:rFonts w:ascii="Arial" w:hAnsi="Arial"/>
          <w:sz w:val="22"/>
          <w:szCs w:val="22"/>
        </w:rPr>
      </w:pPr>
      <w:r w:rsidRPr="000B3CAB">
        <w:rPr>
          <w:rFonts w:ascii="Arial" w:hAnsi="Arial" w:hint="eastAsia"/>
          <w:sz w:val="22"/>
          <w:szCs w:val="22"/>
        </w:rPr>
        <w:t>勧誘・説明態勢（監督指針Ⅴ－２－４－２－２）</w:t>
      </w:r>
    </w:p>
    <w:p w14:paraId="4C4E60EA" w14:textId="260FBC92" w:rsidR="003034C5" w:rsidRPr="000B3CAB" w:rsidRDefault="003034C5" w:rsidP="003034C5">
      <w:pPr>
        <w:ind w:leftChars="99" w:left="240" w:hanging="2"/>
        <w:rPr>
          <w:rFonts w:ascii="Arial" w:hAnsi="Arial"/>
          <w:sz w:val="22"/>
          <w:szCs w:val="22"/>
        </w:rPr>
      </w:pPr>
      <w:r w:rsidRPr="000B3CAB">
        <w:rPr>
          <w:rFonts w:ascii="Arial" w:hAnsi="Arial"/>
          <w:sz w:val="22"/>
          <w:szCs w:val="22"/>
        </w:rPr>
        <w:t>Control environment for customer solicitation and explanations (Guidelines for Supervision V-2-4-2-2)</w:t>
      </w:r>
    </w:p>
    <w:p w14:paraId="773F1001" w14:textId="20A18FDD"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 xml:space="preserve">　　電子募集取扱業務を行う金融商品取引業者は、組合契約等の概要や、ファンドが現に行っている事業の概要、当該契約に基づく権利のリスクに関する説明が、投資者に対して十分になされているか。</w:t>
      </w:r>
    </w:p>
    <w:p w14:paraId="7118D2D8" w14:textId="1BDC203D" w:rsidR="004E6A47" w:rsidRPr="000B3CAB" w:rsidRDefault="004E6A47" w:rsidP="004E6A47">
      <w:pPr>
        <w:ind w:leftChars="100" w:left="242" w:hanging="2"/>
        <w:rPr>
          <w:rFonts w:ascii="Arial" w:hAnsi="Arial"/>
          <w:sz w:val="22"/>
          <w:szCs w:val="22"/>
        </w:rPr>
      </w:pPr>
      <w:r w:rsidRPr="000B3CAB">
        <w:rPr>
          <w:rFonts w:ascii="Arial" w:hAnsi="Arial"/>
          <w:sz w:val="22"/>
          <w:szCs w:val="22"/>
        </w:rPr>
        <w:t>Financial Instruments Business Operators who provide service of handling electronic public offerings shall pay attention to whether they are providing investors with sufficient explanation regarding the key points of association contracts, the businesses in which relevant funds are involved and the risks regarding rights based on the contracts.</w:t>
      </w:r>
    </w:p>
    <w:p w14:paraId="4955EA94" w14:textId="77777777" w:rsidR="005E24A6" w:rsidRPr="000B3CAB" w:rsidRDefault="005E24A6" w:rsidP="005E24A6">
      <w:pPr>
        <w:ind w:left="220" w:hangingChars="100" w:hanging="220"/>
        <w:rPr>
          <w:rFonts w:ascii="Arial" w:hAnsi="Arial"/>
          <w:sz w:val="22"/>
          <w:szCs w:val="22"/>
        </w:rPr>
      </w:pPr>
    </w:p>
    <w:p w14:paraId="0014FF1E" w14:textId="4D2BB0E4" w:rsidR="005E24A6" w:rsidRPr="000B3CAB" w:rsidRDefault="005E24A6" w:rsidP="003034C5">
      <w:pPr>
        <w:ind w:leftChars="100" w:left="460" w:hangingChars="100" w:hanging="220"/>
        <w:rPr>
          <w:rFonts w:ascii="Arial" w:hAnsi="Arial"/>
          <w:sz w:val="22"/>
          <w:szCs w:val="22"/>
        </w:rPr>
      </w:pPr>
      <w:r w:rsidRPr="000B3CAB">
        <w:rPr>
          <w:rFonts w:ascii="Arial" w:hAnsi="Arial" w:hint="eastAsia"/>
          <w:sz w:val="22"/>
          <w:szCs w:val="22"/>
        </w:rPr>
        <w:t>投資者保護のための情報提供（監督指針Ⅴ－２－４－２－３（</w:t>
      </w:r>
      <w:r w:rsidRPr="000B3CAB">
        <w:rPr>
          <w:rFonts w:ascii="Arial" w:hAnsi="Arial"/>
          <w:sz w:val="22"/>
          <w:szCs w:val="22"/>
        </w:rPr>
        <w:t>1</w:t>
      </w:r>
      <w:r w:rsidRPr="000B3CAB">
        <w:rPr>
          <w:rFonts w:ascii="Arial" w:hAnsi="Arial" w:hint="eastAsia"/>
          <w:sz w:val="22"/>
          <w:szCs w:val="22"/>
        </w:rPr>
        <w:t>）・（</w:t>
      </w:r>
      <w:r w:rsidRPr="000B3CAB">
        <w:rPr>
          <w:rFonts w:ascii="Arial" w:hAnsi="Arial"/>
          <w:sz w:val="22"/>
          <w:szCs w:val="22"/>
        </w:rPr>
        <w:t>2</w:t>
      </w:r>
      <w:r w:rsidRPr="000B3CAB">
        <w:rPr>
          <w:rFonts w:ascii="Arial" w:hAnsi="Arial" w:hint="eastAsia"/>
          <w:sz w:val="22"/>
          <w:szCs w:val="22"/>
        </w:rPr>
        <w:t>））</w:t>
      </w:r>
    </w:p>
    <w:p w14:paraId="6CABDAF2" w14:textId="77777777" w:rsidR="000D7C08" w:rsidRPr="000B3CAB" w:rsidRDefault="000D7C08" w:rsidP="000D7C08">
      <w:pPr>
        <w:ind w:leftChars="100" w:left="460" w:hangingChars="100" w:hanging="220"/>
        <w:rPr>
          <w:rFonts w:ascii="Arial" w:hAnsi="Arial"/>
          <w:sz w:val="22"/>
          <w:szCs w:val="22"/>
        </w:rPr>
      </w:pPr>
      <w:r w:rsidRPr="000B3CAB">
        <w:rPr>
          <w:rFonts w:ascii="Arial" w:hAnsi="Arial"/>
          <w:sz w:val="22"/>
          <w:szCs w:val="22"/>
        </w:rPr>
        <w:t xml:space="preserve">Provision of information intended to protect investors (Guidelines for Supervision V-2-4-2-3(1), </w:t>
      </w:r>
      <w:r w:rsidRPr="000B3CAB">
        <w:rPr>
          <w:rFonts w:ascii="Arial" w:hAnsi="Arial"/>
          <w:sz w:val="22"/>
          <w:szCs w:val="22"/>
        </w:rPr>
        <w:lastRenderedPageBreak/>
        <w:t>(2))</w:t>
      </w:r>
    </w:p>
    <w:p w14:paraId="408BE316" w14:textId="06A2FD99" w:rsidR="005E24A6" w:rsidRPr="000B3CAB" w:rsidRDefault="005E24A6" w:rsidP="000D7C08">
      <w:pPr>
        <w:ind w:leftChars="100" w:left="460" w:hangingChars="100" w:hanging="220"/>
        <w:rPr>
          <w:rFonts w:ascii="Arial" w:hAnsi="Arial"/>
          <w:sz w:val="22"/>
          <w:szCs w:val="22"/>
        </w:rPr>
      </w:pPr>
      <w:r w:rsidRPr="000B3CAB">
        <w:rPr>
          <w:rFonts w:ascii="Arial" w:hAnsi="Arial" w:hint="eastAsia"/>
          <w:sz w:val="22"/>
          <w:szCs w:val="22"/>
        </w:rPr>
        <w:t>・商号等の表示</w:t>
      </w:r>
    </w:p>
    <w:p w14:paraId="0FB4DD9C" w14:textId="1A758E06" w:rsidR="000D7C08" w:rsidRPr="000B3CAB" w:rsidRDefault="000D7C08" w:rsidP="000D7C08">
      <w:pPr>
        <w:ind w:leftChars="100" w:left="460" w:hangingChars="100" w:hanging="220"/>
        <w:rPr>
          <w:rFonts w:ascii="Arial" w:hAnsi="Arial"/>
          <w:sz w:val="22"/>
          <w:szCs w:val="22"/>
        </w:rPr>
      </w:pPr>
      <w:r w:rsidRPr="000B3CAB">
        <w:rPr>
          <w:rFonts w:ascii="Arial" w:hAnsi="Arial" w:hint="eastAsia"/>
          <w:sz w:val="22"/>
          <w:szCs w:val="22"/>
        </w:rPr>
        <w:t>・</w:t>
      </w:r>
      <w:r w:rsidRPr="000B3CAB">
        <w:rPr>
          <w:rFonts w:ascii="Arial" w:hAnsi="Arial"/>
          <w:sz w:val="22"/>
          <w:szCs w:val="22"/>
        </w:rPr>
        <w:t>Posting of trade names, etc.</w:t>
      </w:r>
    </w:p>
    <w:p w14:paraId="51939DE1" w14:textId="77777777" w:rsidR="005E24A6" w:rsidRPr="000B3CAB" w:rsidRDefault="005E24A6" w:rsidP="005E24A6">
      <w:pPr>
        <w:ind w:left="440" w:hangingChars="200" w:hanging="440"/>
        <w:rPr>
          <w:rFonts w:ascii="Arial" w:hAnsi="Arial"/>
          <w:sz w:val="22"/>
          <w:szCs w:val="22"/>
        </w:rPr>
      </w:pPr>
      <w:r w:rsidRPr="000B3CAB">
        <w:rPr>
          <w:rFonts w:ascii="Arial" w:hAnsi="Arial" w:hint="eastAsia"/>
          <w:sz w:val="22"/>
          <w:szCs w:val="22"/>
        </w:rPr>
        <w:t xml:space="preserve">　　　電子募集取扱業務を行うにあたって、法第</w:t>
      </w:r>
      <w:r w:rsidRPr="000B3CAB">
        <w:rPr>
          <w:rFonts w:ascii="Arial" w:hAnsi="Arial"/>
          <w:sz w:val="22"/>
          <w:szCs w:val="22"/>
        </w:rPr>
        <w:t xml:space="preserve"> 36 </w:t>
      </w:r>
      <w:r w:rsidRPr="000B3CAB">
        <w:rPr>
          <w:rFonts w:ascii="Arial" w:hAnsi="Arial" w:hint="eastAsia"/>
          <w:sz w:val="22"/>
          <w:szCs w:val="22"/>
        </w:rPr>
        <w:t>条の２第１項の規定により同項の標識に表示されるべき事項をホームページ上の見やすい箇所に表示しているか。</w:t>
      </w:r>
    </w:p>
    <w:p w14:paraId="1353E40C" w14:textId="4B1F86BD" w:rsidR="005E24A6" w:rsidRPr="000B3CAB" w:rsidRDefault="005E24A6" w:rsidP="005E24A6">
      <w:pPr>
        <w:ind w:leftChars="200" w:left="480" w:firstLineChars="100" w:firstLine="220"/>
        <w:rPr>
          <w:rFonts w:ascii="Arial" w:hAnsi="Arial"/>
          <w:sz w:val="22"/>
          <w:szCs w:val="22"/>
        </w:rPr>
      </w:pPr>
      <w:r w:rsidRPr="000B3CAB">
        <w:rPr>
          <w:rFonts w:ascii="Arial" w:hAnsi="Arial" w:hint="eastAsia"/>
          <w:sz w:val="22"/>
          <w:szCs w:val="22"/>
        </w:rPr>
        <w:t>また、第二種少額電子募集取扱業者（法第</w:t>
      </w:r>
      <w:r w:rsidRPr="000B3CAB">
        <w:rPr>
          <w:rFonts w:ascii="Arial" w:hAnsi="Arial"/>
          <w:sz w:val="22"/>
          <w:szCs w:val="22"/>
        </w:rPr>
        <w:t xml:space="preserve"> 29 </w:t>
      </w:r>
      <w:r w:rsidRPr="000B3CAB">
        <w:rPr>
          <w:rFonts w:ascii="Arial" w:hAnsi="Arial" w:hint="eastAsia"/>
          <w:sz w:val="22"/>
          <w:szCs w:val="22"/>
        </w:rPr>
        <w:t>条の４の３第２項に規定する第二種少額電子募集取扱業者をいう。以下同じ。）にあっては法第</w:t>
      </w:r>
      <w:r w:rsidRPr="000B3CAB">
        <w:rPr>
          <w:rFonts w:ascii="Arial" w:hAnsi="Arial"/>
          <w:sz w:val="22"/>
          <w:szCs w:val="22"/>
        </w:rPr>
        <w:t xml:space="preserve"> 29 </w:t>
      </w:r>
      <w:r w:rsidRPr="000B3CAB">
        <w:rPr>
          <w:rFonts w:ascii="Arial" w:hAnsi="Arial" w:hint="eastAsia"/>
          <w:sz w:val="22"/>
          <w:szCs w:val="22"/>
        </w:rPr>
        <w:t>条の４の３第３項に規定する事項をホームページ上の見やすい箇所に表示しているか。</w:t>
      </w:r>
    </w:p>
    <w:p w14:paraId="789CBAAB" w14:textId="77777777" w:rsidR="00161EF3" w:rsidRPr="000B3CAB" w:rsidRDefault="00161EF3" w:rsidP="00161EF3">
      <w:pPr>
        <w:ind w:leftChars="200" w:left="480"/>
        <w:rPr>
          <w:rFonts w:ascii="Arial" w:hAnsi="Arial"/>
          <w:sz w:val="22"/>
          <w:szCs w:val="22"/>
        </w:rPr>
      </w:pPr>
      <w:r w:rsidRPr="000B3CAB">
        <w:rPr>
          <w:rFonts w:ascii="Arial" w:hAnsi="Arial"/>
          <w:sz w:val="22"/>
          <w:szCs w:val="22"/>
        </w:rPr>
        <w:t>In providing services of handling electronic public offerings, whether items required to be included in a sign as specified in Article 36-2(1) of the FIEA are posted in a noticeable location on the website.</w:t>
      </w:r>
    </w:p>
    <w:p w14:paraId="1380DA5A" w14:textId="10875D81" w:rsidR="00161EF3" w:rsidRPr="000B3CAB" w:rsidRDefault="00161EF3" w:rsidP="00161EF3">
      <w:pPr>
        <w:ind w:leftChars="200" w:left="480"/>
        <w:rPr>
          <w:rFonts w:ascii="Arial" w:hAnsi="Arial"/>
          <w:sz w:val="22"/>
          <w:szCs w:val="22"/>
        </w:rPr>
      </w:pPr>
      <w:r w:rsidRPr="000B3CAB">
        <w:rPr>
          <w:rFonts w:ascii="Arial" w:hAnsi="Arial"/>
          <w:sz w:val="22"/>
          <w:szCs w:val="22"/>
        </w:rPr>
        <w:t>In cases of Type 2 Small Amount Electronic Public Offering Services Operator (as specified in Article 29-4-3(2) of the FIEA; the same shall apply herein after), whether such an operator posts items prescribed in Article 29-4-3(3) of the FIEA in a noticeable location on the website.</w:t>
      </w:r>
    </w:p>
    <w:p w14:paraId="14605EB4" w14:textId="77777777" w:rsidR="005E24A6" w:rsidRPr="000B3CAB" w:rsidRDefault="005E24A6" w:rsidP="005E24A6">
      <w:pPr>
        <w:ind w:left="220" w:hangingChars="100" w:hanging="220"/>
        <w:rPr>
          <w:rFonts w:ascii="Arial" w:hAnsi="Arial"/>
          <w:sz w:val="22"/>
          <w:szCs w:val="22"/>
        </w:rPr>
      </w:pPr>
    </w:p>
    <w:p w14:paraId="501DD7A9" w14:textId="3C72332B" w:rsidR="005E24A6" w:rsidRPr="000B3CAB" w:rsidRDefault="005E24A6" w:rsidP="000D7C08">
      <w:pPr>
        <w:ind w:leftChars="100" w:left="460" w:hangingChars="100" w:hanging="220"/>
        <w:rPr>
          <w:rFonts w:ascii="Arial" w:hAnsi="Arial"/>
          <w:sz w:val="22"/>
          <w:szCs w:val="22"/>
        </w:rPr>
      </w:pPr>
      <w:r w:rsidRPr="000B3CAB">
        <w:rPr>
          <w:rFonts w:ascii="Arial" w:hAnsi="Arial" w:hint="eastAsia"/>
          <w:sz w:val="22"/>
          <w:szCs w:val="22"/>
        </w:rPr>
        <w:t>・投資者の判断に重要な影響を与える事項の表示</w:t>
      </w:r>
    </w:p>
    <w:p w14:paraId="63DCF15B" w14:textId="20008CB2" w:rsidR="000D7C08" w:rsidRPr="000B3CAB" w:rsidRDefault="000D7C08" w:rsidP="000D7C08">
      <w:pPr>
        <w:ind w:leftChars="100" w:left="460" w:hangingChars="100" w:hanging="220"/>
        <w:rPr>
          <w:rFonts w:ascii="Arial" w:hAnsi="Arial"/>
          <w:sz w:val="22"/>
          <w:szCs w:val="22"/>
        </w:rPr>
      </w:pPr>
      <w:r w:rsidRPr="000B3CAB">
        <w:rPr>
          <w:rFonts w:ascii="Arial" w:hAnsi="Arial" w:hint="eastAsia"/>
          <w:sz w:val="22"/>
          <w:szCs w:val="22"/>
        </w:rPr>
        <w:t>・</w:t>
      </w:r>
      <w:r w:rsidRPr="000B3CAB">
        <w:rPr>
          <w:rFonts w:ascii="Arial" w:hAnsi="Arial"/>
          <w:sz w:val="22"/>
          <w:szCs w:val="22"/>
        </w:rPr>
        <w:t>Representation of items that can have material impact on investors’ judgment</w:t>
      </w:r>
    </w:p>
    <w:p w14:paraId="23E7580C" w14:textId="77777777" w:rsidR="005E24A6" w:rsidRPr="000B3CAB" w:rsidRDefault="005E24A6" w:rsidP="005E24A6">
      <w:pPr>
        <w:ind w:left="660" w:hangingChars="300" w:hanging="660"/>
        <w:rPr>
          <w:rFonts w:ascii="Arial" w:hAnsi="Arial"/>
          <w:sz w:val="22"/>
          <w:szCs w:val="22"/>
        </w:rPr>
      </w:pPr>
      <w:r w:rsidRPr="000B3CAB">
        <w:rPr>
          <w:rFonts w:ascii="Arial" w:hAnsi="Arial" w:hint="eastAsia"/>
          <w:sz w:val="22"/>
          <w:szCs w:val="22"/>
        </w:rPr>
        <w:t xml:space="preserve">　　①　業府令第</w:t>
      </w:r>
      <w:r w:rsidRPr="000B3CAB">
        <w:rPr>
          <w:rFonts w:ascii="Arial" w:hAnsi="Arial"/>
          <w:sz w:val="22"/>
          <w:szCs w:val="22"/>
        </w:rPr>
        <w:t xml:space="preserve"> 146 </w:t>
      </w:r>
      <w:r w:rsidRPr="000B3CAB">
        <w:rPr>
          <w:rFonts w:ascii="Arial" w:hAnsi="Arial" w:hint="eastAsia"/>
          <w:sz w:val="22"/>
          <w:szCs w:val="22"/>
        </w:rPr>
        <w:t>条の２第３項に規定する当該事項をホームページの見やすい箇所に明瞭かつ正確に表示しているか。</w:t>
      </w:r>
    </w:p>
    <w:p w14:paraId="3B8DD6EA" w14:textId="77777777" w:rsidR="005E24A6" w:rsidRPr="000B3CAB" w:rsidRDefault="005E24A6" w:rsidP="005E24A6">
      <w:pPr>
        <w:ind w:leftChars="300" w:left="720" w:firstLineChars="100" w:firstLine="220"/>
        <w:rPr>
          <w:rFonts w:ascii="Arial" w:hAnsi="Arial"/>
          <w:sz w:val="22"/>
          <w:szCs w:val="22"/>
        </w:rPr>
      </w:pPr>
      <w:r w:rsidRPr="000B3CAB">
        <w:rPr>
          <w:rFonts w:ascii="Arial" w:hAnsi="Arial" w:hint="eastAsia"/>
          <w:sz w:val="22"/>
          <w:szCs w:val="22"/>
        </w:rPr>
        <w:t>また、投資者保護の観点から、適切かつ分かりやすい表示がなされているか。</w:t>
      </w:r>
    </w:p>
    <w:p w14:paraId="3A47EE8A"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②　当該事項をホームページで表示する趣旨や当該事項の記載方法に関する規定の趣旨等を踏まえ、投資者の判断に影響を及ぼす重要な事項を先に表示するなど、投資者が理解をする意欲を失わないよう努めているか。</w:t>
      </w:r>
    </w:p>
    <w:p w14:paraId="616036B2" w14:textId="77777777"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③　当該事項をホームページに掲載する際には、電子募集取扱業務を行う期間中、投資者が容易に当該事項を記載した箇所にアクセスできるような表示がなされているか。</w:t>
      </w:r>
    </w:p>
    <w:p w14:paraId="30864E73" w14:textId="7E532629" w:rsidR="009C2FDD" w:rsidRPr="000B3CAB" w:rsidRDefault="009C2FDD" w:rsidP="009C2FDD">
      <w:pPr>
        <w:ind w:leftChars="200" w:left="700" w:hangingChars="100" w:hanging="220"/>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)Whether the relevant information is displayed clearly and accurately in locations that are easy to see on the website.</w:t>
      </w:r>
      <w:r w:rsidRPr="000B3CAB">
        <w:rPr>
          <w:rFonts w:ascii="Arial" w:hAnsi="Arial"/>
          <w:sz w:val="22"/>
          <w:szCs w:val="22"/>
        </w:rPr>
        <w:br/>
        <w:t>Also whether appropriate and easy-to-understand descriptions are made, from the viewpoint of protecting investors.</w:t>
      </w:r>
    </w:p>
    <w:p w14:paraId="1CC2D02D" w14:textId="117702B6" w:rsidR="009C2FDD" w:rsidRPr="000B3CAB" w:rsidRDefault="009C2FDD" w:rsidP="009C2FDD">
      <w:pPr>
        <w:ind w:leftChars="200" w:left="700" w:hangingChars="100" w:hanging="220"/>
        <w:rPr>
          <w:rFonts w:ascii="Arial" w:hAnsi="Arial"/>
          <w:sz w:val="22"/>
          <w:szCs w:val="22"/>
        </w:rPr>
      </w:pPr>
      <w:r w:rsidRPr="000B3CAB">
        <w:rPr>
          <w:rFonts w:ascii="Arial" w:hAnsi="Arial"/>
          <w:sz w:val="22"/>
          <w:szCs w:val="22"/>
        </w:rPr>
        <w:t>(ii) Whether the operator is making efforts not to impair the ability of investors to understand by, for example, first displaying important information that has material impact on their judgment, in light of purposes of posting relevant information on the website as well as aims of provisions regarding method of indicating relevant information</w:t>
      </w:r>
      <w:r w:rsidRPr="000B3CAB">
        <w:rPr>
          <w:rFonts w:ascii="Arial" w:hAnsi="Arial" w:hint="eastAsia"/>
          <w:sz w:val="22"/>
          <w:szCs w:val="22"/>
        </w:rPr>
        <w:t>.</w:t>
      </w:r>
    </w:p>
    <w:p w14:paraId="431F251A" w14:textId="04B8B57B" w:rsidR="005E24A6" w:rsidRPr="000B3CAB" w:rsidRDefault="009C2FDD" w:rsidP="009C2FDD">
      <w:pPr>
        <w:ind w:leftChars="200" w:left="700" w:hangingChars="100" w:hanging="220"/>
        <w:rPr>
          <w:rFonts w:ascii="Arial" w:hAnsi="Arial"/>
          <w:sz w:val="22"/>
          <w:szCs w:val="22"/>
        </w:rPr>
      </w:pPr>
      <w:r w:rsidRPr="000B3CAB">
        <w:rPr>
          <w:rFonts w:ascii="Arial" w:hAnsi="Arial"/>
          <w:sz w:val="22"/>
          <w:szCs w:val="22"/>
        </w:rPr>
        <w:t>(iii) Whether relevant information is displayed on the website in ways in which investors can access its location easily during the period in which the service of handling electronic public offerings is being provided.</w:t>
      </w:r>
    </w:p>
    <w:p w14:paraId="1CDF3981" w14:textId="77777777" w:rsidR="005E24A6" w:rsidRPr="000B3CAB" w:rsidRDefault="005E24A6" w:rsidP="005E24A6">
      <w:pPr>
        <w:ind w:left="220" w:hangingChars="100" w:hanging="220"/>
        <w:rPr>
          <w:rFonts w:ascii="Arial" w:hAnsi="Arial"/>
          <w:sz w:val="22"/>
          <w:szCs w:val="22"/>
        </w:rPr>
      </w:pPr>
    </w:p>
    <w:p w14:paraId="3AADC249" w14:textId="28A37749"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（２）電子申込型電子募集取扱業務の適切性（監督指針Ⅴ－２－４－３）</w:t>
      </w:r>
    </w:p>
    <w:p w14:paraId="4411E4C5" w14:textId="77777777" w:rsidR="00046D5D" w:rsidRPr="000B3CAB" w:rsidRDefault="00046D5D" w:rsidP="00046D5D">
      <w:pPr>
        <w:ind w:left="220" w:hangingChars="100" w:hanging="220"/>
        <w:rPr>
          <w:rFonts w:ascii="Arial" w:hAnsi="Arial"/>
          <w:sz w:val="22"/>
          <w:szCs w:val="22"/>
        </w:rPr>
      </w:pPr>
      <w:r w:rsidRPr="000B3CAB">
        <w:rPr>
          <w:rFonts w:ascii="Arial" w:hAnsi="Arial"/>
          <w:sz w:val="22"/>
          <w:szCs w:val="22"/>
        </w:rPr>
        <w:t>(2) Appropriateness of electronic-application-style electronic public offering services (Guidelines for Supervision V-2-4-3)</w:t>
      </w:r>
    </w:p>
    <w:p w14:paraId="37033BBE" w14:textId="5DE84372" w:rsidR="005E24A6" w:rsidRPr="000B3CAB" w:rsidRDefault="005E24A6" w:rsidP="003034C5">
      <w:pPr>
        <w:ind w:leftChars="100" w:left="460" w:hangingChars="100" w:hanging="220"/>
        <w:rPr>
          <w:rFonts w:ascii="Arial" w:hAnsi="Arial"/>
          <w:sz w:val="22"/>
          <w:szCs w:val="22"/>
        </w:rPr>
      </w:pPr>
      <w:r w:rsidRPr="000B3CAB">
        <w:rPr>
          <w:rFonts w:ascii="Arial" w:hAnsi="Arial" w:hint="eastAsia"/>
          <w:sz w:val="22"/>
          <w:szCs w:val="22"/>
        </w:rPr>
        <w:t>業務管理体制（監督指針Ⅴ－２－４－３－１（</w:t>
      </w:r>
      <w:r w:rsidRPr="000B3CAB">
        <w:rPr>
          <w:rFonts w:ascii="Arial" w:hAnsi="Arial"/>
          <w:sz w:val="22"/>
          <w:szCs w:val="22"/>
        </w:rPr>
        <w:t>1</w:t>
      </w:r>
      <w:r w:rsidRPr="000B3CAB">
        <w:rPr>
          <w:rFonts w:ascii="Arial" w:hAnsi="Arial" w:hint="eastAsia"/>
          <w:sz w:val="22"/>
          <w:szCs w:val="22"/>
        </w:rPr>
        <w:t>）～（</w:t>
      </w:r>
      <w:r w:rsidRPr="000B3CAB">
        <w:rPr>
          <w:rFonts w:ascii="Arial" w:hAnsi="Arial"/>
          <w:sz w:val="22"/>
          <w:szCs w:val="22"/>
        </w:rPr>
        <w:t>4</w:t>
      </w:r>
      <w:r w:rsidRPr="000B3CAB">
        <w:rPr>
          <w:rFonts w:ascii="Arial" w:hAnsi="Arial" w:hint="eastAsia"/>
          <w:sz w:val="22"/>
          <w:szCs w:val="22"/>
        </w:rPr>
        <w:t>））</w:t>
      </w:r>
    </w:p>
    <w:p w14:paraId="0D03BD7A" w14:textId="7413E873" w:rsidR="00046D5D" w:rsidRPr="000B3CAB" w:rsidRDefault="00046D5D" w:rsidP="00046D5D">
      <w:pPr>
        <w:ind w:leftChars="100" w:left="460" w:hangingChars="100" w:hanging="220"/>
        <w:rPr>
          <w:rFonts w:ascii="Arial" w:hAnsi="Arial"/>
          <w:sz w:val="22"/>
          <w:szCs w:val="22"/>
        </w:rPr>
      </w:pPr>
      <w:r w:rsidRPr="000B3CAB">
        <w:rPr>
          <w:rFonts w:ascii="Arial" w:hAnsi="Arial"/>
          <w:sz w:val="22"/>
          <w:szCs w:val="22"/>
        </w:rPr>
        <w:t>System to control operations (Guidelines for Supervision V-2-4-3-1(1)–(4))</w:t>
      </w:r>
    </w:p>
    <w:p w14:paraId="3270450E" w14:textId="77777777" w:rsidR="00046D5D" w:rsidRPr="000B3CAB" w:rsidRDefault="00046D5D" w:rsidP="003034C5">
      <w:pPr>
        <w:ind w:leftChars="100" w:left="460" w:hangingChars="100" w:hanging="220"/>
        <w:rPr>
          <w:rFonts w:ascii="Arial" w:hAnsi="Arial"/>
          <w:sz w:val="22"/>
          <w:szCs w:val="22"/>
        </w:rPr>
      </w:pPr>
    </w:p>
    <w:p w14:paraId="1217BDF8" w14:textId="28334DE6" w:rsidR="005E24A6" w:rsidRPr="000B3CAB" w:rsidRDefault="005E24A6" w:rsidP="00046D5D">
      <w:pPr>
        <w:ind w:leftChars="100" w:left="460" w:hangingChars="100" w:hanging="220"/>
        <w:rPr>
          <w:rFonts w:ascii="Arial" w:hAnsi="Arial"/>
          <w:sz w:val="22"/>
          <w:szCs w:val="22"/>
        </w:rPr>
      </w:pPr>
      <w:r w:rsidRPr="000B3CAB">
        <w:rPr>
          <w:rFonts w:ascii="Arial" w:hAnsi="Arial" w:hint="eastAsia"/>
          <w:sz w:val="22"/>
          <w:szCs w:val="22"/>
        </w:rPr>
        <w:lastRenderedPageBreak/>
        <w:t>・発行者の事業計画等に係る適切な審査</w:t>
      </w:r>
    </w:p>
    <w:p w14:paraId="3BA222D5" w14:textId="7AE56919" w:rsidR="00046D5D" w:rsidRPr="000B3CAB" w:rsidRDefault="00046D5D" w:rsidP="00046D5D">
      <w:pPr>
        <w:ind w:leftChars="100" w:left="460" w:hangingChars="100" w:hanging="220"/>
        <w:rPr>
          <w:rFonts w:ascii="Arial" w:hAnsi="Arial"/>
          <w:sz w:val="22"/>
          <w:szCs w:val="22"/>
        </w:rPr>
      </w:pPr>
      <w:r w:rsidRPr="000B3CAB">
        <w:rPr>
          <w:rFonts w:ascii="Arial" w:hAnsi="Arial" w:hint="eastAsia"/>
          <w:sz w:val="22"/>
          <w:szCs w:val="22"/>
        </w:rPr>
        <w:t>・</w:t>
      </w:r>
      <w:r w:rsidRPr="000B3CAB">
        <w:rPr>
          <w:rFonts w:ascii="Arial" w:hAnsi="Arial"/>
          <w:sz w:val="22"/>
          <w:szCs w:val="22"/>
        </w:rPr>
        <w:t>Appropriate screening of issuer’s business plan, etc.</w:t>
      </w:r>
    </w:p>
    <w:p w14:paraId="33DF93AF" w14:textId="77777777" w:rsidR="005E24A6" w:rsidRPr="000B3CAB" w:rsidRDefault="005E24A6" w:rsidP="005E24A6">
      <w:pPr>
        <w:ind w:left="440" w:hangingChars="200" w:hanging="440"/>
        <w:rPr>
          <w:rFonts w:ascii="Arial" w:hAnsi="Arial"/>
          <w:sz w:val="22"/>
          <w:szCs w:val="22"/>
        </w:rPr>
      </w:pPr>
      <w:r w:rsidRPr="000B3CAB">
        <w:rPr>
          <w:rFonts w:ascii="Arial" w:hAnsi="Arial" w:hint="eastAsia"/>
          <w:sz w:val="22"/>
          <w:szCs w:val="22"/>
        </w:rPr>
        <w:t xml:space="preserve">　　　業府令第</w:t>
      </w:r>
      <w:r w:rsidRPr="000B3CAB">
        <w:rPr>
          <w:rFonts w:ascii="Arial" w:hAnsi="Arial"/>
          <w:sz w:val="22"/>
          <w:szCs w:val="22"/>
        </w:rPr>
        <w:t xml:space="preserve"> 70 </w:t>
      </w:r>
      <w:r w:rsidRPr="000B3CAB">
        <w:rPr>
          <w:rFonts w:ascii="Arial" w:hAnsi="Arial" w:hint="eastAsia"/>
          <w:sz w:val="22"/>
          <w:szCs w:val="22"/>
        </w:rPr>
        <w:t>条の２第２項第３号に規定する事項の審査に関する適切な規程が整備され、実質的な審査が的確に行われているか。</w:t>
      </w:r>
    </w:p>
    <w:p w14:paraId="39BF6260" w14:textId="77777777" w:rsidR="005E24A6" w:rsidRPr="000B3CAB" w:rsidRDefault="005E24A6" w:rsidP="005E24A6">
      <w:pPr>
        <w:ind w:leftChars="200" w:left="480" w:firstLineChars="100" w:firstLine="220"/>
        <w:rPr>
          <w:rFonts w:ascii="Arial" w:hAnsi="Arial"/>
          <w:sz w:val="22"/>
          <w:szCs w:val="22"/>
        </w:rPr>
      </w:pPr>
      <w:r w:rsidRPr="000B3CAB">
        <w:rPr>
          <w:rFonts w:ascii="Arial" w:hAnsi="Arial" w:hint="eastAsia"/>
          <w:sz w:val="22"/>
          <w:szCs w:val="22"/>
        </w:rPr>
        <w:t>また、これらの審査結果を確実に検証できる体制が整備されているか。</w:t>
      </w:r>
    </w:p>
    <w:p w14:paraId="3C292378" w14:textId="77777777" w:rsidR="005E24A6" w:rsidRPr="000B3CAB" w:rsidRDefault="005E24A6" w:rsidP="005E24A6">
      <w:pPr>
        <w:ind w:leftChars="200" w:left="480" w:firstLineChars="100" w:firstLine="220"/>
        <w:rPr>
          <w:rFonts w:ascii="Arial" w:hAnsi="Arial"/>
          <w:sz w:val="22"/>
          <w:szCs w:val="22"/>
        </w:rPr>
      </w:pPr>
      <w:r w:rsidRPr="000B3CAB">
        <w:rPr>
          <w:rFonts w:ascii="Arial" w:hAnsi="Arial" w:hint="eastAsia"/>
          <w:sz w:val="22"/>
          <w:szCs w:val="22"/>
        </w:rPr>
        <w:t>さらに、事業計画が合理的な根拠に基づいて作成されていること、及び、当該事業計画や発行者の財務状況に照らして、合理的な目標募集額が規定されているかについて適切な審査が行われる体制が整備されているか。</w:t>
      </w:r>
    </w:p>
    <w:p w14:paraId="6E397D29" w14:textId="77777777" w:rsidR="00046D5D" w:rsidRPr="000B3CAB" w:rsidRDefault="00046D5D" w:rsidP="00046D5D">
      <w:pPr>
        <w:ind w:leftChars="199" w:left="480" w:hanging="2"/>
        <w:rPr>
          <w:rFonts w:ascii="Arial" w:hAnsi="Arial"/>
          <w:sz w:val="22"/>
          <w:szCs w:val="22"/>
        </w:rPr>
      </w:pPr>
      <w:r w:rsidRPr="000B3CAB">
        <w:rPr>
          <w:rFonts w:ascii="Arial" w:hAnsi="Arial"/>
          <w:sz w:val="22"/>
          <w:szCs w:val="22"/>
        </w:rPr>
        <w:t>Whether appropriate rules are introduced regarding screening of items specified in Article 70-2(2)(iii) of the FIB Cabinet Office Ordinance, and meaningful screening is accurately conducted.</w:t>
      </w:r>
    </w:p>
    <w:p w14:paraId="4AC6D2D7" w14:textId="77777777" w:rsidR="00046D5D" w:rsidRPr="000B3CAB" w:rsidRDefault="00046D5D" w:rsidP="00046D5D">
      <w:pPr>
        <w:ind w:leftChars="199" w:left="480" w:hanging="2"/>
        <w:rPr>
          <w:rFonts w:ascii="Arial" w:hAnsi="Arial"/>
          <w:sz w:val="22"/>
          <w:szCs w:val="22"/>
        </w:rPr>
      </w:pPr>
      <w:r w:rsidRPr="000B3CAB">
        <w:rPr>
          <w:rFonts w:ascii="Arial" w:hAnsi="Arial"/>
          <w:sz w:val="22"/>
          <w:szCs w:val="22"/>
        </w:rPr>
        <w:t>Also whether a system to accurately verify the results of such screening is in place.</w:t>
      </w:r>
    </w:p>
    <w:p w14:paraId="11427EF3" w14:textId="13439487" w:rsidR="005E24A6" w:rsidRPr="000B3CAB" w:rsidRDefault="00046D5D" w:rsidP="00046D5D">
      <w:pPr>
        <w:ind w:leftChars="199" w:left="480" w:hanging="2"/>
        <w:rPr>
          <w:rFonts w:ascii="Arial" w:hAnsi="Arial"/>
          <w:sz w:val="22"/>
          <w:szCs w:val="22"/>
        </w:rPr>
      </w:pPr>
      <w:r w:rsidRPr="000B3CAB">
        <w:rPr>
          <w:rFonts w:ascii="Arial" w:hAnsi="Arial"/>
          <w:sz w:val="22"/>
          <w:szCs w:val="22"/>
        </w:rPr>
        <w:t>In addition, whether a system is in place to ensure appropriate screening can be conducted to make sure the business plan is based on rational reasoning and that a reasonable target amount is set for the offering in view of the said business plan and the issuer's financial status.</w:t>
      </w:r>
    </w:p>
    <w:p w14:paraId="22A5C4CE" w14:textId="77777777" w:rsidR="00046D5D" w:rsidRPr="000B3CAB" w:rsidRDefault="00046D5D" w:rsidP="00046D5D">
      <w:pPr>
        <w:rPr>
          <w:rFonts w:ascii="Arial" w:hAnsi="Arial"/>
          <w:sz w:val="22"/>
          <w:szCs w:val="22"/>
        </w:rPr>
      </w:pPr>
    </w:p>
    <w:p w14:paraId="3F0CE746" w14:textId="1F8D0920" w:rsidR="005E24A6" w:rsidRPr="000B3CAB" w:rsidRDefault="005E24A6" w:rsidP="00046D5D">
      <w:pPr>
        <w:ind w:leftChars="100" w:left="460" w:hangingChars="100" w:hanging="220"/>
        <w:rPr>
          <w:rFonts w:ascii="Arial" w:hAnsi="Arial"/>
          <w:sz w:val="22"/>
          <w:szCs w:val="22"/>
        </w:rPr>
      </w:pPr>
      <w:r w:rsidRPr="000B3CAB">
        <w:rPr>
          <w:rFonts w:ascii="Arial" w:hAnsi="Arial" w:hint="eastAsia"/>
          <w:sz w:val="22"/>
          <w:szCs w:val="22"/>
        </w:rPr>
        <w:t>・目標募集額の設定及び応募額の取扱いに関する留意点</w:t>
      </w:r>
    </w:p>
    <w:p w14:paraId="55A6FA39" w14:textId="7053E2B5" w:rsidR="00046D5D" w:rsidRPr="000B3CAB" w:rsidRDefault="00046D5D" w:rsidP="00046D5D">
      <w:pPr>
        <w:ind w:leftChars="100" w:left="460" w:hangingChars="100" w:hanging="220"/>
        <w:rPr>
          <w:rFonts w:ascii="Arial" w:hAnsi="Arial"/>
          <w:sz w:val="22"/>
          <w:szCs w:val="22"/>
        </w:rPr>
      </w:pPr>
      <w:r w:rsidRPr="000B3CAB">
        <w:rPr>
          <w:rFonts w:ascii="Arial" w:hAnsi="Arial" w:hint="eastAsia"/>
          <w:sz w:val="22"/>
          <w:szCs w:val="22"/>
        </w:rPr>
        <w:t>・</w:t>
      </w:r>
      <w:r w:rsidRPr="000B3CAB">
        <w:rPr>
          <w:rFonts w:ascii="Arial" w:hAnsi="Arial"/>
          <w:sz w:val="22"/>
          <w:szCs w:val="22"/>
        </w:rPr>
        <w:t>Points of attention regarding setting of target amounts and handling of amount of offering</w:t>
      </w:r>
    </w:p>
    <w:p w14:paraId="6D114EB4" w14:textId="34491CF0"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①　業府令第</w:t>
      </w:r>
      <w:r w:rsidRPr="000B3CAB">
        <w:rPr>
          <w:rFonts w:ascii="Arial" w:hAnsi="Arial"/>
          <w:sz w:val="22"/>
          <w:szCs w:val="22"/>
        </w:rPr>
        <w:t>70</w:t>
      </w:r>
      <w:r w:rsidRPr="000B3CAB">
        <w:rPr>
          <w:rFonts w:ascii="Arial" w:hAnsi="Arial" w:hint="eastAsia"/>
          <w:sz w:val="22"/>
          <w:szCs w:val="22"/>
        </w:rPr>
        <w:t>条の２第２項第４号に規定する「目標募集額に到達しなかった場合及び目標募集額を超過した場合の当該応募額の取扱いの方法」について、投資者に誤解を生じさせることのないように、わかりやすく明示することとしているか。</w:t>
      </w:r>
    </w:p>
    <w:p w14:paraId="4C054D45" w14:textId="77777777" w:rsidR="005E24A6" w:rsidRPr="000B3CAB" w:rsidRDefault="005E24A6" w:rsidP="005E24A6">
      <w:pPr>
        <w:ind w:leftChars="300" w:left="720"/>
        <w:rPr>
          <w:rFonts w:ascii="Arial" w:hAnsi="Arial"/>
          <w:sz w:val="22"/>
          <w:szCs w:val="22"/>
        </w:rPr>
      </w:pPr>
      <w:r w:rsidRPr="000B3CAB">
        <w:rPr>
          <w:rFonts w:ascii="Arial" w:hAnsi="Arial" w:hint="eastAsia"/>
          <w:sz w:val="22"/>
          <w:szCs w:val="22"/>
        </w:rPr>
        <w:t>例えば以下のような点に留意して検証することとする。</w:t>
      </w:r>
    </w:p>
    <w:p w14:paraId="02722FE7"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イ．応募額が目標募集額に到達しなかった場合であっても有価証券を発行する場合には、発行者の事業計画の内容及び資金使途等との関係で有価証券を発行することが合理的と認められる理由を投資者に誤解を生じさせることのないように明示することとしているか。</w:t>
      </w:r>
    </w:p>
    <w:p w14:paraId="71A4709B"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ロ．応募額が目標募集額を超える場合に当該超過分についても有価証券を発行する場合には、目標募集額を上回る金額についての資金使途及び発行者の事業計画の内容に与える影響等について投資者に誤解を生じさせることのないように明示することとしているか。</w:t>
      </w:r>
    </w:p>
    <w:p w14:paraId="0536745C" w14:textId="75397872"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②　目標募集額に到達したときに限り当該有価証券が発行される方法を用いる場合において、例えば、応募額が目標募集額に到達した段階で応募代金の振込先口座を通知するなど、業府令第</w:t>
      </w:r>
      <w:r w:rsidRPr="000B3CAB">
        <w:rPr>
          <w:rFonts w:ascii="Arial" w:hAnsi="Arial"/>
          <w:sz w:val="22"/>
          <w:szCs w:val="22"/>
        </w:rPr>
        <w:t>70</w:t>
      </w:r>
      <w:r w:rsidRPr="000B3CAB">
        <w:rPr>
          <w:rFonts w:ascii="Arial" w:hAnsi="Arial" w:hint="eastAsia"/>
          <w:sz w:val="22"/>
          <w:szCs w:val="22"/>
        </w:rPr>
        <w:t>条の２第２項第５号に規定する「目標募集額に到達するまでの間、発行者が応募代金（これに類するものを含む。第</w:t>
      </w:r>
      <w:r w:rsidRPr="000B3CAB">
        <w:rPr>
          <w:rFonts w:ascii="Arial" w:hAnsi="Arial"/>
          <w:sz w:val="22"/>
          <w:szCs w:val="22"/>
        </w:rPr>
        <w:t>7</w:t>
      </w:r>
      <w:r w:rsidRPr="000B3CAB">
        <w:rPr>
          <w:rFonts w:ascii="Arial" w:hAnsi="Arial" w:hint="eastAsia"/>
          <w:sz w:val="22"/>
          <w:szCs w:val="22"/>
        </w:rPr>
        <w:t>号及び第</w:t>
      </w:r>
      <w:r w:rsidRPr="000B3CAB">
        <w:rPr>
          <w:rFonts w:ascii="Arial" w:hAnsi="Arial"/>
          <w:sz w:val="22"/>
          <w:szCs w:val="22"/>
        </w:rPr>
        <w:t>83</w:t>
      </w:r>
      <w:r w:rsidRPr="000B3CAB">
        <w:rPr>
          <w:rFonts w:ascii="Arial" w:hAnsi="Arial" w:hint="eastAsia"/>
          <w:sz w:val="22"/>
          <w:szCs w:val="22"/>
        </w:rPr>
        <w:t>条第</w:t>
      </w:r>
      <w:r w:rsidRPr="000B3CAB">
        <w:rPr>
          <w:rFonts w:ascii="Arial" w:hAnsi="Arial"/>
          <w:sz w:val="22"/>
          <w:szCs w:val="22"/>
        </w:rPr>
        <w:t>1</w:t>
      </w:r>
      <w:r w:rsidRPr="000B3CAB">
        <w:rPr>
          <w:rFonts w:ascii="Arial" w:hAnsi="Arial" w:hint="eastAsia"/>
          <w:sz w:val="22"/>
          <w:szCs w:val="22"/>
        </w:rPr>
        <w:t>項第</w:t>
      </w:r>
      <w:r w:rsidRPr="000B3CAB">
        <w:rPr>
          <w:rFonts w:ascii="Arial" w:hAnsi="Arial"/>
          <w:sz w:val="22"/>
          <w:szCs w:val="22"/>
        </w:rPr>
        <w:t>6</w:t>
      </w:r>
      <w:r w:rsidRPr="000B3CAB">
        <w:rPr>
          <w:rFonts w:ascii="Arial" w:hAnsi="Arial" w:hint="eastAsia"/>
          <w:sz w:val="22"/>
          <w:szCs w:val="22"/>
        </w:rPr>
        <w:t>号二において同じ。）の払込みを受けることがないことを確保するための措置」がとられているか。</w:t>
      </w:r>
    </w:p>
    <w:p w14:paraId="517AADC3" w14:textId="04EC1864" w:rsidR="00046D5D" w:rsidRPr="000B3CAB" w:rsidRDefault="00046D5D" w:rsidP="00EB7DB4">
      <w:pPr>
        <w:ind w:leftChars="200" w:left="700" w:hangingChars="100" w:hanging="220"/>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)Whether representations are made to avoid misunderstanding by investors on the "method to handle subscribed amount when the target of amount of offer is not reached or such a target is exceeded" prescribed in Article 70-2(2)(iv) of the FIB Cabinet Office Ordinance. Examinations, for example, shall be conducted by paying attention to the following points.</w:t>
      </w:r>
    </w:p>
    <w:p w14:paraId="08A24949" w14:textId="53ADFC31" w:rsidR="00046D5D" w:rsidRPr="000B3CAB" w:rsidRDefault="00046D5D" w:rsidP="00EB7DB4">
      <w:pPr>
        <w:ind w:leftChars="300" w:left="940" w:hangingChars="100" w:hanging="220"/>
        <w:rPr>
          <w:rFonts w:ascii="Arial" w:hAnsi="Arial"/>
          <w:sz w:val="22"/>
          <w:szCs w:val="22"/>
        </w:rPr>
      </w:pPr>
      <w:r w:rsidRPr="000B3CAB">
        <w:rPr>
          <w:rFonts w:ascii="Arial" w:hAnsi="Arial"/>
          <w:sz w:val="22"/>
          <w:szCs w:val="22"/>
        </w:rPr>
        <w:t xml:space="preserve">A. When securities are issued even though the subscribed amount failed to reach the target, whether the reason is clearly presented that issuance of the said securities is deemed rational in view of the issuer's business plan and the purpose of the funds being </w:t>
      </w:r>
      <w:r w:rsidRPr="000B3CAB">
        <w:rPr>
          <w:rFonts w:ascii="Arial" w:hAnsi="Arial"/>
          <w:sz w:val="22"/>
          <w:szCs w:val="22"/>
        </w:rPr>
        <w:lastRenderedPageBreak/>
        <w:t>raised so as to prevent misunderstanding on the part of investors</w:t>
      </w:r>
      <w:r w:rsidR="00EB7DB4" w:rsidRPr="000B3CAB">
        <w:rPr>
          <w:rFonts w:ascii="Arial" w:hAnsi="Arial"/>
          <w:sz w:val="22"/>
          <w:szCs w:val="22"/>
        </w:rPr>
        <w:t>.</w:t>
      </w:r>
    </w:p>
    <w:p w14:paraId="7184092D" w14:textId="52980806" w:rsidR="00046D5D" w:rsidRPr="000B3CAB" w:rsidRDefault="00046D5D" w:rsidP="00EB7DB4">
      <w:pPr>
        <w:ind w:leftChars="300" w:left="940" w:hangingChars="100" w:hanging="220"/>
        <w:rPr>
          <w:rFonts w:ascii="Arial" w:hAnsi="Arial"/>
          <w:sz w:val="22"/>
          <w:szCs w:val="22"/>
        </w:rPr>
      </w:pPr>
      <w:r w:rsidRPr="000B3CAB">
        <w:rPr>
          <w:rFonts w:ascii="Arial" w:hAnsi="Arial"/>
          <w:sz w:val="22"/>
          <w:szCs w:val="22"/>
        </w:rPr>
        <w:t xml:space="preserve">B. When the subscribed amount exceeds the target of the offer and the securities are issued for the higher amount, whether the purpose of the funds being raised to the amount exceeding the amount of offering target and the possible impact the amount exceeding the amount of offering target may have on the details of the issuer's business plan are clearly explained in ways that prevents misunderstanding on the part of </w:t>
      </w:r>
      <w:r w:rsidR="00EB7DB4" w:rsidRPr="000B3CAB">
        <w:rPr>
          <w:rFonts w:ascii="Arial" w:hAnsi="Arial"/>
          <w:sz w:val="22"/>
          <w:szCs w:val="22"/>
        </w:rPr>
        <w:t>investors.</w:t>
      </w:r>
    </w:p>
    <w:p w14:paraId="151AA2EC" w14:textId="672C01F5" w:rsidR="005E24A6" w:rsidRPr="000B3CAB" w:rsidRDefault="00046D5D" w:rsidP="00EB7DB4">
      <w:pPr>
        <w:ind w:leftChars="200" w:left="700" w:hangingChars="100" w:hanging="220"/>
        <w:rPr>
          <w:rFonts w:ascii="Arial" w:hAnsi="Arial"/>
          <w:sz w:val="22"/>
          <w:szCs w:val="22"/>
        </w:rPr>
      </w:pPr>
      <w:r w:rsidRPr="000B3CAB">
        <w:rPr>
          <w:rFonts w:ascii="Arial" w:hAnsi="Arial"/>
          <w:sz w:val="22"/>
          <w:szCs w:val="22"/>
        </w:rPr>
        <w:t>(ii) In cases where the securities are issued only when subscription reaches the target subscription amount, whether "measures have been taken to ensure that the issuer will not receive the payment of subscription price (including an amount similar thereto; the same applies in item (vii) and Article 83(1)(vi)(d)) before the target subscription amount is achieved" as prescribed in Article 70-2(2)(v) of the FIB Cabinet Office Ordinance, for example, by providing notice of the account into which subscribed amounts are paid when the total subscribed amount reaches the target subscription amount.</w:t>
      </w:r>
    </w:p>
    <w:p w14:paraId="082AFFFD" w14:textId="77777777" w:rsidR="00046D5D" w:rsidRPr="000B3CAB" w:rsidRDefault="00046D5D" w:rsidP="005E24A6">
      <w:pPr>
        <w:ind w:left="220" w:hangingChars="100" w:hanging="220"/>
        <w:rPr>
          <w:rFonts w:ascii="Arial" w:hAnsi="Arial"/>
          <w:sz w:val="22"/>
          <w:szCs w:val="22"/>
        </w:rPr>
      </w:pPr>
    </w:p>
    <w:p w14:paraId="39E905BC" w14:textId="425733A9" w:rsidR="005E24A6" w:rsidRPr="000B3CAB" w:rsidRDefault="005E24A6" w:rsidP="00046D5D">
      <w:pPr>
        <w:ind w:leftChars="100" w:left="460" w:hangingChars="100" w:hanging="220"/>
        <w:rPr>
          <w:rFonts w:ascii="Arial" w:hAnsi="Arial"/>
          <w:sz w:val="22"/>
          <w:szCs w:val="22"/>
        </w:rPr>
      </w:pPr>
      <w:r w:rsidRPr="000B3CAB">
        <w:rPr>
          <w:rFonts w:ascii="Arial" w:hAnsi="Arial" w:hint="eastAsia"/>
          <w:sz w:val="22"/>
          <w:szCs w:val="22"/>
        </w:rPr>
        <w:t>・申込みの撤回等に関する留意点</w:t>
      </w:r>
    </w:p>
    <w:p w14:paraId="11FB1FCC" w14:textId="581084CE" w:rsidR="00046D5D" w:rsidRPr="000B3CAB" w:rsidRDefault="00046D5D" w:rsidP="00046D5D">
      <w:pPr>
        <w:ind w:leftChars="100" w:left="460" w:hangingChars="100" w:hanging="220"/>
        <w:rPr>
          <w:rFonts w:ascii="Arial" w:hAnsi="Arial"/>
          <w:sz w:val="22"/>
          <w:szCs w:val="22"/>
        </w:rPr>
      </w:pPr>
      <w:r w:rsidRPr="000B3CAB">
        <w:rPr>
          <w:rFonts w:ascii="Arial" w:hAnsi="Arial" w:hint="eastAsia"/>
          <w:sz w:val="22"/>
          <w:szCs w:val="22"/>
        </w:rPr>
        <w:t>・</w:t>
      </w:r>
      <w:r w:rsidRPr="000B3CAB">
        <w:rPr>
          <w:rFonts w:ascii="Arial" w:hAnsi="Arial"/>
          <w:sz w:val="22"/>
          <w:szCs w:val="22"/>
        </w:rPr>
        <w:t>Points of attention regarding cancellation of applications</w:t>
      </w:r>
    </w:p>
    <w:p w14:paraId="3B8DDA82" w14:textId="77777777" w:rsidR="005E24A6" w:rsidRPr="000B3CAB" w:rsidRDefault="005E24A6" w:rsidP="005E24A6">
      <w:pPr>
        <w:ind w:left="440" w:hangingChars="200" w:hanging="440"/>
        <w:rPr>
          <w:rFonts w:ascii="Arial" w:hAnsi="Arial"/>
          <w:sz w:val="22"/>
          <w:szCs w:val="22"/>
        </w:rPr>
      </w:pPr>
      <w:r w:rsidRPr="000B3CAB">
        <w:rPr>
          <w:rFonts w:ascii="Arial" w:hAnsi="Arial" w:hint="eastAsia"/>
          <w:sz w:val="22"/>
          <w:szCs w:val="22"/>
        </w:rPr>
        <w:t xml:space="preserve">　　　電子申込型電子募集取扱業務等において取り扱う有価証券の募集又は私募に関して、申込撤回期間において、相手方が申込みの撤回等を行うことができることを確認するための措置がとられているか。例えば、以下に掲げる事項に留意する必要がある。</w:t>
      </w:r>
      <w:r w:rsidRPr="000B3CAB">
        <w:rPr>
          <w:rFonts w:ascii="Arial" w:hAnsi="Arial"/>
          <w:sz w:val="22"/>
          <w:szCs w:val="22"/>
        </w:rPr>
        <w:cr/>
      </w:r>
      <w:r w:rsidRPr="000B3CAB">
        <w:rPr>
          <w:rFonts w:ascii="Arial" w:hAnsi="Arial" w:hint="eastAsia"/>
          <w:sz w:val="22"/>
          <w:szCs w:val="22"/>
        </w:rPr>
        <w:t>①　申込撤回期間内は申込者が無条件で申込みの撤回等を行えることとなっているか。</w:t>
      </w:r>
    </w:p>
    <w:p w14:paraId="4C048591" w14:textId="77777777" w:rsidR="005E24A6" w:rsidRPr="000B3CAB" w:rsidRDefault="005E24A6" w:rsidP="005E24A6">
      <w:pPr>
        <w:ind w:leftChars="300" w:left="720"/>
        <w:rPr>
          <w:rFonts w:ascii="Arial" w:hAnsi="Arial"/>
          <w:sz w:val="22"/>
          <w:szCs w:val="22"/>
        </w:rPr>
      </w:pPr>
      <w:r w:rsidRPr="000B3CAB">
        <w:rPr>
          <w:rFonts w:ascii="Arial" w:hAnsi="Arial" w:hint="eastAsia"/>
          <w:sz w:val="22"/>
          <w:szCs w:val="22"/>
        </w:rPr>
        <w:t>例えば、申込みの撤回等があった場合において、電子申込型電子募集取扱業務等を行う金融商品取引業者又は発行者が、その申込みの撤回等に伴う違約金（損害賠償、手数料等の名目の如何を問わない。）の支払を請求することができることになっていないか。</w:t>
      </w:r>
    </w:p>
    <w:p w14:paraId="5A48E068" w14:textId="4E60F314" w:rsidR="005E24A6" w:rsidRPr="000B3CAB" w:rsidRDefault="005E24A6" w:rsidP="005E24A6">
      <w:pPr>
        <w:ind w:leftChars="200" w:left="700" w:hangingChars="100" w:hanging="220"/>
        <w:rPr>
          <w:rFonts w:ascii="Arial" w:hAnsi="Arial"/>
          <w:sz w:val="22"/>
          <w:szCs w:val="22"/>
        </w:rPr>
      </w:pPr>
      <w:r w:rsidRPr="000B3CAB">
        <w:rPr>
          <w:rFonts w:ascii="Arial" w:hAnsi="Arial" w:hint="eastAsia"/>
          <w:sz w:val="22"/>
          <w:szCs w:val="22"/>
        </w:rPr>
        <w:t>②　投資者に対して、申込撤回期間内は申込みの撤回等を行えること、及び、申込みの撤回等を行うために必要な事項（申込みの撤回等の方法、手続き、連絡先及び既に応募代金の払込みを受けている場合においてはその返金方法等）について明確に表示しているか。</w:t>
      </w:r>
    </w:p>
    <w:p w14:paraId="7C26B073" w14:textId="1232CDF0" w:rsidR="001C1CDC" w:rsidRPr="000B3CAB" w:rsidRDefault="001C1CDC" w:rsidP="001C1CDC">
      <w:pPr>
        <w:ind w:leftChars="201" w:left="482"/>
        <w:rPr>
          <w:rFonts w:ascii="Arial" w:hAnsi="Arial"/>
          <w:sz w:val="22"/>
          <w:szCs w:val="22"/>
        </w:rPr>
      </w:pPr>
      <w:r w:rsidRPr="000B3CAB">
        <w:rPr>
          <w:rFonts w:ascii="Arial" w:hAnsi="Arial"/>
          <w:sz w:val="22"/>
          <w:szCs w:val="22"/>
        </w:rPr>
        <w:t>Whether there are measures in place to ensure investors can retract their application or cancel the contract with the issuer with regard to public offering or private placement of securities handled in services handling electronic public offerings in an ele</w:t>
      </w:r>
      <w:r w:rsidR="00494987" w:rsidRPr="000B3CAB">
        <w:rPr>
          <w:rFonts w:ascii="Arial" w:hAnsi="Arial"/>
          <w:sz w:val="22"/>
          <w:szCs w:val="22"/>
        </w:rPr>
        <w:t xml:space="preserve">ctronic application style, etc.  </w:t>
      </w:r>
      <w:r w:rsidRPr="000B3CAB">
        <w:rPr>
          <w:rFonts w:ascii="Arial" w:hAnsi="Arial"/>
          <w:sz w:val="22"/>
          <w:szCs w:val="22"/>
        </w:rPr>
        <w:t>The following points, for example, shall be considered.</w:t>
      </w:r>
    </w:p>
    <w:p w14:paraId="48272F04" w14:textId="335C35E3" w:rsidR="001C1CDC" w:rsidRPr="000B3CAB" w:rsidRDefault="001C1CDC" w:rsidP="00494987">
      <w:pPr>
        <w:ind w:leftChars="200" w:left="700" w:hangingChars="100" w:hanging="220"/>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xml:space="preserve">)Whether applicants can retract their application unconditionally during the application cancellation period. </w:t>
      </w:r>
      <w:r w:rsidR="00494987" w:rsidRPr="000B3CAB">
        <w:rPr>
          <w:rFonts w:ascii="Arial" w:hAnsi="Arial"/>
          <w:sz w:val="22"/>
          <w:szCs w:val="22"/>
        </w:rPr>
        <w:t xml:space="preserve"> </w:t>
      </w:r>
      <w:r w:rsidRPr="000B3CAB">
        <w:rPr>
          <w:rFonts w:ascii="Arial" w:hAnsi="Arial"/>
          <w:sz w:val="22"/>
          <w:szCs w:val="22"/>
        </w:rPr>
        <w:t>For example, whether the Financial Instruments Business Operator providing a service of handling electronic public offerings in the electronic application style, in facing a retraction of application, may be able to claim payment of a penalty (regardless of what this is called, for example, damages, fees, etc.) for the said retraction</w:t>
      </w:r>
      <w:r w:rsidR="00494987" w:rsidRPr="000B3CAB">
        <w:rPr>
          <w:rFonts w:ascii="Arial" w:hAnsi="Arial"/>
          <w:sz w:val="22"/>
          <w:szCs w:val="22"/>
        </w:rPr>
        <w:t>.</w:t>
      </w:r>
    </w:p>
    <w:p w14:paraId="38D5E2E1" w14:textId="58423A08" w:rsidR="005E24A6" w:rsidRPr="000B3CAB" w:rsidRDefault="001C1CDC" w:rsidP="00494987">
      <w:pPr>
        <w:ind w:leftChars="200" w:left="700" w:hangingChars="100" w:hanging="220"/>
        <w:rPr>
          <w:rFonts w:ascii="Arial" w:hAnsi="Arial"/>
          <w:sz w:val="22"/>
          <w:szCs w:val="22"/>
        </w:rPr>
      </w:pPr>
      <w:r w:rsidRPr="000B3CAB">
        <w:rPr>
          <w:rFonts w:ascii="Arial" w:hAnsi="Arial"/>
          <w:sz w:val="22"/>
          <w:szCs w:val="22"/>
        </w:rPr>
        <w:t>(ii) Whether clear representation is made that investors can retract their application during a specified period as well as about necessary information for retracting an application (such as the method for retraction, procedure, contact information and how to get refunded on the payment of subscription amount that have already been paid, etc.)</w:t>
      </w:r>
      <w:r w:rsidR="00494987" w:rsidRPr="000B3CAB">
        <w:rPr>
          <w:rFonts w:ascii="Arial" w:hAnsi="Arial"/>
          <w:sz w:val="22"/>
          <w:szCs w:val="22"/>
        </w:rPr>
        <w:t>.</w:t>
      </w:r>
    </w:p>
    <w:p w14:paraId="7315E995" w14:textId="77777777" w:rsidR="001C1CDC" w:rsidRPr="000B3CAB" w:rsidRDefault="001C1CDC" w:rsidP="005E24A6">
      <w:pPr>
        <w:ind w:left="220" w:hangingChars="100" w:hanging="220"/>
        <w:rPr>
          <w:rFonts w:ascii="Arial" w:hAnsi="Arial"/>
          <w:sz w:val="22"/>
          <w:szCs w:val="22"/>
        </w:rPr>
      </w:pPr>
    </w:p>
    <w:p w14:paraId="006D9733" w14:textId="2F09D9F6" w:rsidR="005E24A6" w:rsidRPr="000B3CAB" w:rsidRDefault="005E24A6" w:rsidP="00046D5D">
      <w:pPr>
        <w:ind w:leftChars="100" w:left="460" w:hangingChars="100" w:hanging="220"/>
        <w:rPr>
          <w:rFonts w:ascii="Arial" w:hAnsi="Arial"/>
          <w:sz w:val="22"/>
          <w:szCs w:val="22"/>
        </w:rPr>
      </w:pPr>
      <w:r w:rsidRPr="000B3CAB">
        <w:rPr>
          <w:rFonts w:ascii="Arial" w:hAnsi="Arial" w:hint="eastAsia"/>
          <w:sz w:val="22"/>
          <w:szCs w:val="22"/>
        </w:rPr>
        <w:t>・事業の状況についての情報提供の確保</w:t>
      </w:r>
    </w:p>
    <w:p w14:paraId="2F021CA8" w14:textId="218DB9E4" w:rsidR="00046D5D" w:rsidRPr="000B3CAB" w:rsidRDefault="00046D5D" w:rsidP="00046D5D">
      <w:pPr>
        <w:ind w:leftChars="100" w:left="460" w:hangingChars="100" w:hanging="220"/>
        <w:rPr>
          <w:rFonts w:ascii="Arial" w:hAnsi="Arial"/>
          <w:sz w:val="22"/>
          <w:szCs w:val="22"/>
        </w:rPr>
      </w:pPr>
      <w:r w:rsidRPr="000B3CAB">
        <w:rPr>
          <w:rFonts w:ascii="Arial" w:hAnsi="Arial" w:hint="eastAsia"/>
          <w:sz w:val="22"/>
          <w:szCs w:val="22"/>
        </w:rPr>
        <w:t>・</w:t>
      </w:r>
      <w:r w:rsidRPr="000B3CAB">
        <w:rPr>
          <w:rFonts w:ascii="Arial" w:hAnsi="Arial"/>
          <w:sz w:val="22"/>
          <w:szCs w:val="22"/>
        </w:rPr>
        <w:t>Ensuring provision of information about the status of business operations</w:t>
      </w:r>
    </w:p>
    <w:p w14:paraId="074E419E" w14:textId="2E729695" w:rsidR="005E24A6" w:rsidRPr="000B3CAB" w:rsidRDefault="005E24A6" w:rsidP="00E463EB">
      <w:pPr>
        <w:ind w:leftChars="199" w:left="479" w:hanging="1"/>
        <w:rPr>
          <w:rFonts w:ascii="Arial" w:hAnsi="Arial"/>
          <w:sz w:val="22"/>
          <w:szCs w:val="22"/>
        </w:rPr>
      </w:pPr>
      <w:r w:rsidRPr="000B3CAB">
        <w:rPr>
          <w:rFonts w:ascii="Arial" w:hAnsi="Arial" w:hint="eastAsia"/>
          <w:sz w:val="22"/>
          <w:szCs w:val="22"/>
        </w:rPr>
        <w:lastRenderedPageBreak/>
        <w:t xml:space="preserve">　発行者の事業の状況についての情報を、発行者が顧客に対して定期的に提供できることを確認するための措置がとられているか（例えば、発行者の事業に係る報告書等を電子申込型電子募集取扱業務等を行う金融商品取引業者が受領し、当該金融商品取引業者のホームページ又は電子メールによる送付を通じて投資者に対する開示を行う方法が考えられる。）。</w:t>
      </w:r>
    </w:p>
    <w:p w14:paraId="18FB668B" w14:textId="3214CEBB" w:rsidR="00E463EB" w:rsidRPr="000B3CAB" w:rsidRDefault="00E463EB" w:rsidP="00E463EB">
      <w:pPr>
        <w:ind w:leftChars="200" w:left="480"/>
        <w:rPr>
          <w:rFonts w:ascii="Arial" w:hAnsi="Arial"/>
          <w:sz w:val="22"/>
          <w:szCs w:val="22"/>
        </w:rPr>
      </w:pPr>
      <w:r w:rsidRPr="000B3CAB">
        <w:rPr>
          <w:rFonts w:ascii="Arial" w:hAnsi="Arial"/>
          <w:sz w:val="22"/>
          <w:szCs w:val="22"/>
        </w:rPr>
        <w:t>Whether measures are taken to ensure that the issuer periodically provide the customer with information about the former's operational status (such a measure can be, for example, a scheme in which the Financial Instruments Business Operator providing a service of handling electronic public offerings in the electronic application style receives reports on the issuer's operational status, and disclose them to investors by posting them on the said Financial Instruments Business Operator’s website or sending them by email).</w:t>
      </w:r>
    </w:p>
    <w:p w14:paraId="604409D7" w14:textId="71DB0E47" w:rsidR="005E24A6" w:rsidRPr="000B3CAB" w:rsidRDefault="005E24A6" w:rsidP="003034C5">
      <w:pPr>
        <w:ind w:leftChars="-1" w:left="-1" w:hanging="1"/>
        <w:rPr>
          <w:rFonts w:ascii="Arial" w:hAnsi="Arial"/>
          <w:sz w:val="22"/>
          <w:szCs w:val="22"/>
        </w:rPr>
      </w:pPr>
      <w:r w:rsidRPr="000B3CAB">
        <w:rPr>
          <w:rFonts w:ascii="Arial" w:hAnsi="Arial"/>
          <w:sz w:val="22"/>
          <w:szCs w:val="22"/>
        </w:rPr>
        <w:cr/>
      </w:r>
      <w:r w:rsidRPr="000B3CAB">
        <w:rPr>
          <w:rFonts w:ascii="Arial" w:hAnsi="Arial" w:hint="eastAsia"/>
          <w:sz w:val="22"/>
          <w:szCs w:val="22"/>
        </w:rPr>
        <w:t>（３）第二種少額電子募集取扱業務の適切性（監督指針Ⅴ－２－４－４）</w:t>
      </w:r>
    </w:p>
    <w:p w14:paraId="24B28123" w14:textId="77777777" w:rsidR="00463C34" w:rsidRPr="000B3CAB" w:rsidRDefault="00463C34" w:rsidP="00463C34">
      <w:pPr>
        <w:ind w:left="282" w:hanging="282"/>
        <w:rPr>
          <w:rFonts w:ascii="Arial" w:hAnsi="Arial"/>
          <w:sz w:val="22"/>
          <w:szCs w:val="22"/>
        </w:rPr>
      </w:pPr>
      <w:r w:rsidRPr="000B3CAB">
        <w:rPr>
          <w:rFonts w:ascii="Arial" w:hAnsi="Arial"/>
          <w:sz w:val="22"/>
          <w:szCs w:val="22"/>
        </w:rPr>
        <w:t>(3) Appropriateness of Type II small-amount electronic public offering services (Guidelines for Supervision V-2-4-4)</w:t>
      </w:r>
    </w:p>
    <w:p w14:paraId="2D3A5646" w14:textId="73EC63E4" w:rsidR="005E24A6" w:rsidRPr="000B3CAB" w:rsidRDefault="005E24A6" w:rsidP="003034C5">
      <w:pPr>
        <w:ind w:leftChars="100" w:left="460" w:hangingChars="100" w:hanging="220"/>
        <w:rPr>
          <w:rFonts w:ascii="Arial" w:hAnsi="Arial"/>
          <w:sz w:val="22"/>
          <w:szCs w:val="22"/>
        </w:rPr>
      </w:pPr>
      <w:r w:rsidRPr="000B3CAB">
        <w:rPr>
          <w:rFonts w:ascii="Arial" w:hAnsi="Arial" w:hint="eastAsia"/>
          <w:sz w:val="22"/>
          <w:szCs w:val="22"/>
        </w:rPr>
        <w:t>勧誘・説明態勢（監督指針Ⅴ－２－４－４－１（</w:t>
      </w:r>
      <w:r w:rsidRPr="000B3CAB">
        <w:rPr>
          <w:rFonts w:ascii="Arial" w:hAnsi="Arial"/>
          <w:sz w:val="22"/>
          <w:szCs w:val="22"/>
        </w:rPr>
        <w:t>1</w:t>
      </w:r>
      <w:r w:rsidRPr="000B3CAB">
        <w:rPr>
          <w:rFonts w:ascii="Arial" w:hAnsi="Arial" w:hint="eastAsia"/>
          <w:sz w:val="22"/>
          <w:szCs w:val="22"/>
        </w:rPr>
        <w:t>））</w:t>
      </w:r>
    </w:p>
    <w:p w14:paraId="320C74C0" w14:textId="34ABC646" w:rsidR="005E24A6" w:rsidRPr="000B3CAB" w:rsidRDefault="00463C34" w:rsidP="00463C34">
      <w:pPr>
        <w:ind w:leftChars="101" w:left="242"/>
        <w:rPr>
          <w:rFonts w:ascii="Arial" w:hAnsi="Arial"/>
          <w:sz w:val="22"/>
          <w:szCs w:val="22"/>
        </w:rPr>
      </w:pPr>
      <w:r w:rsidRPr="000B3CAB">
        <w:rPr>
          <w:rFonts w:ascii="Arial" w:hAnsi="Arial"/>
          <w:sz w:val="22"/>
          <w:szCs w:val="22"/>
        </w:rPr>
        <w:t>Control environment for customer solicitation and explanations (Guidelines for Supervision V-2-4-4-1(1))</w:t>
      </w:r>
    </w:p>
    <w:p w14:paraId="3CE2474B" w14:textId="77777777" w:rsidR="00463C34" w:rsidRPr="000B3CAB" w:rsidRDefault="00463C34" w:rsidP="00463C34">
      <w:pPr>
        <w:rPr>
          <w:rFonts w:ascii="Arial" w:hAnsi="Arial"/>
          <w:sz w:val="22"/>
          <w:szCs w:val="22"/>
        </w:rPr>
      </w:pPr>
    </w:p>
    <w:p w14:paraId="22E7C1DE" w14:textId="1A0DCBEE" w:rsidR="005E24A6" w:rsidRPr="000B3CAB" w:rsidRDefault="005E24A6" w:rsidP="00463C34">
      <w:pPr>
        <w:ind w:leftChars="100" w:left="460" w:hangingChars="100" w:hanging="220"/>
        <w:rPr>
          <w:rFonts w:ascii="Arial" w:hAnsi="Arial"/>
          <w:sz w:val="22"/>
          <w:szCs w:val="22"/>
        </w:rPr>
      </w:pPr>
      <w:r w:rsidRPr="000B3CAB">
        <w:rPr>
          <w:rFonts w:ascii="Arial" w:hAnsi="Arial" w:hint="eastAsia"/>
          <w:sz w:val="22"/>
          <w:szCs w:val="22"/>
        </w:rPr>
        <w:t>有価証券の発行価額の総額等に関する留意点（監督指針Ⅴ－２－４－４－２（</w:t>
      </w:r>
      <w:r w:rsidRPr="000B3CAB">
        <w:rPr>
          <w:rFonts w:ascii="Arial" w:hAnsi="Arial"/>
          <w:sz w:val="22"/>
          <w:szCs w:val="22"/>
        </w:rPr>
        <w:t>1</w:t>
      </w:r>
      <w:r w:rsidRPr="000B3CAB">
        <w:rPr>
          <w:rFonts w:ascii="Arial" w:hAnsi="Arial" w:hint="eastAsia"/>
          <w:sz w:val="22"/>
          <w:szCs w:val="22"/>
        </w:rPr>
        <w:t>））</w:t>
      </w:r>
    </w:p>
    <w:p w14:paraId="1E552A93" w14:textId="2B15999E" w:rsidR="00463C34" w:rsidRPr="000B3CAB" w:rsidRDefault="00463C34" w:rsidP="00463C34">
      <w:pPr>
        <w:ind w:leftChars="100" w:left="240"/>
        <w:rPr>
          <w:rFonts w:ascii="Arial" w:hAnsi="Arial"/>
          <w:sz w:val="22"/>
          <w:szCs w:val="22"/>
        </w:rPr>
      </w:pPr>
      <w:r w:rsidRPr="000B3CAB">
        <w:rPr>
          <w:rFonts w:ascii="Arial" w:hAnsi="Arial"/>
          <w:sz w:val="22"/>
          <w:szCs w:val="22"/>
        </w:rPr>
        <w:t>Points of attention regarding total issued amount of securities (Guidelines for Supervision V-2-4-4-2(1))</w:t>
      </w:r>
    </w:p>
    <w:p w14:paraId="30052C81" w14:textId="00C8E0A6"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 xml:space="preserve">　　第二種少額電子募集取扱業者については、その取り扱う募集又は私募に係る有価証券（第二種少額電子募集取扱業務としてその募集の取扱い又は私募の取扱いが行われるものに限る。）の発行価額の総額が１億円以上となること及び当該有価証券を取得する者（特定投資家を除く。）が払い込む額が</w:t>
      </w:r>
      <w:r w:rsidRPr="000B3CAB">
        <w:rPr>
          <w:rFonts w:ascii="Arial" w:hAnsi="Arial"/>
          <w:sz w:val="22"/>
          <w:szCs w:val="22"/>
        </w:rPr>
        <w:t>50</w:t>
      </w:r>
      <w:r w:rsidRPr="000B3CAB">
        <w:rPr>
          <w:rFonts w:ascii="Arial" w:hAnsi="Arial" w:hint="eastAsia"/>
          <w:sz w:val="22"/>
          <w:szCs w:val="22"/>
        </w:rPr>
        <w:t>万円を超えることをそれぞれ防止するための必要かつ適切な措置がとられているか。例えば、以下に掲げる事項に留意する必要がある。</w:t>
      </w:r>
    </w:p>
    <w:p w14:paraId="518915F2" w14:textId="7F85B3C7" w:rsidR="005E24A6" w:rsidRPr="000B3CAB" w:rsidRDefault="005E24A6" w:rsidP="0075370D">
      <w:pPr>
        <w:ind w:leftChars="99" w:left="524" w:hangingChars="130" w:hanging="286"/>
        <w:rPr>
          <w:rFonts w:ascii="Arial" w:hAnsi="Arial"/>
          <w:sz w:val="22"/>
          <w:szCs w:val="22"/>
        </w:rPr>
      </w:pPr>
      <w:r w:rsidRPr="000B3CAB">
        <w:rPr>
          <w:rFonts w:ascii="Arial" w:hAnsi="Arial" w:hint="eastAsia"/>
          <w:sz w:val="22"/>
          <w:szCs w:val="22"/>
        </w:rPr>
        <w:t>①　業府令第</w:t>
      </w:r>
      <w:r w:rsidRPr="000B3CAB">
        <w:rPr>
          <w:rFonts w:ascii="Arial" w:hAnsi="Arial"/>
          <w:sz w:val="22"/>
          <w:szCs w:val="22"/>
        </w:rPr>
        <w:t>16</w:t>
      </w:r>
      <w:r w:rsidRPr="000B3CAB">
        <w:rPr>
          <w:rFonts w:ascii="Arial" w:hAnsi="Arial" w:hint="eastAsia"/>
          <w:sz w:val="22"/>
          <w:szCs w:val="22"/>
        </w:rPr>
        <w:t>条の３第１項の規定に基づく算定方法に関して、募集又は私募に係る有価証券の発行者が、当該募集又は私募を開始する日前１年以内に他の金融商品取引業者を通じて、又は法第２条第８項第７号に掲げる方法により当該有価証券と同一の種類の有価証券を発行していないか（発行している場合にはその具体的な発行価額）について、例えば計算書類等を確認するとともに、必要に応じヒアリングを行う等により、有価証券の取得勧誘を開始する前に当該事情の有無を適切な方法により確認しているか。</w:t>
      </w:r>
    </w:p>
    <w:p w14:paraId="2D29647D" w14:textId="1BD65467" w:rsidR="005E24A6" w:rsidRPr="000B3CAB" w:rsidRDefault="005E24A6" w:rsidP="0075370D">
      <w:pPr>
        <w:ind w:leftChars="99" w:left="524" w:hangingChars="130" w:hanging="286"/>
        <w:rPr>
          <w:rFonts w:ascii="Arial" w:hAnsi="Arial"/>
          <w:sz w:val="22"/>
          <w:szCs w:val="22"/>
        </w:rPr>
      </w:pPr>
      <w:r w:rsidRPr="000B3CAB">
        <w:rPr>
          <w:rFonts w:ascii="Arial" w:hAnsi="Arial" w:hint="eastAsia"/>
          <w:sz w:val="22"/>
          <w:szCs w:val="22"/>
        </w:rPr>
        <w:t>②　業府令第</w:t>
      </w:r>
      <w:r w:rsidRPr="000B3CAB">
        <w:rPr>
          <w:rFonts w:ascii="Arial" w:hAnsi="Arial"/>
          <w:sz w:val="22"/>
          <w:szCs w:val="22"/>
        </w:rPr>
        <w:t>16</w:t>
      </w:r>
      <w:r w:rsidRPr="000B3CAB">
        <w:rPr>
          <w:rFonts w:ascii="Arial" w:hAnsi="Arial" w:hint="eastAsia"/>
          <w:sz w:val="22"/>
          <w:szCs w:val="22"/>
        </w:rPr>
        <w:t>条の３第２項の規定に基づく算定方法に関して、募集又は私募に係る有価証券の投資者が、当該募集又は私募を開始する日前１年以内に、同一の発行者により発行された当該有価証券と同一の種類の有価証券を取得していないか（取得している場合にその具体的な取得価額を確認できる場合についてはその額）について適切な方法により確認しているか。</w:t>
      </w:r>
    </w:p>
    <w:p w14:paraId="378BBF98" w14:textId="531DF797" w:rsidR="00463C34" w:rsidRPr="000B3CAB" w:rsidRDefault="00463C34" w:rsidP="00463C34">
      <w:pPr>
        <w:ind w:leftChars="100" w:left="240"/>
        <w:rPr>
          <w:rFonts w:ascii="Arial" w:hAnsi="Arial"/>
          <w:sz w:val="22"/>
          <w:szCs w:val="22"/>
        </w:rPr>
      </w:pPr>
      <w:r w:rsidRPr="000B3CAB">
        <w:rPr>
          <w:rFonts w:ascii="Arial" w:hAnsi="Arial"/>
          <w:sz w:val="22"/>
          <w:szCs w:val="22"/>
        </w:rPr>
        <w:t>Whether the Type 2 Small-Amount Electronic Public Offering Services Operator has taken necessary and appropriate measures to prevent the total issued amount of securities of which it handles public offering or private placement from exceeding 100 million yen and investors acquiring relevant securities (excluding specified investors) from paying in excess of 500,000 yen</w:t>
      </w:r>
      <w:r w:rsidR="00542F0A" w:rsidRPr="000B3CAB">
        <w:rPr>
          <w:rFonts w:ascii="Arial" w:hAnsi="Arial"/>
          <w:sz w:val="22"/>
          <w:szCs w:val="22"/>
        </w:rPr>
        <w:t xml:space="preserve">.  </w:t>
      </w:r>
      <w:r w:rsidRPr="000B3CAB">
        <w:rPr>
          <w:rFonts w:ascii="Arial" w:hAnsi="Arial"/>
          <w:sz w:val="22"/>
          <w:szCs w:val="22"/>
        </w:rPr>
        <w:t xml:space="preserve">When judging whether the above-mentioned measures are employed to a satisfactory </w:t>
      </w:r>
      <w:r w:rsidRPr="000B3CAB">
        <w:rPr>
          <w:rFonts w:ascii="Arial" w:hAnsi="Arial"/>
          <w:sz w:val="22"/>
          <w:szCs w:val="22"/>
        </w:rPr>
        <w:lastRenderedPageBreak/>
        <w:t>degree, the following points, for example, shall be considered.</w:t>
      </w:r>
    </w:p>
    <w:p w14:paraId="4FB907C6" w14:textId="3A7E0B48" w:rsidR="00463C34" w:rsidRPr="000B3CAB" w:rsidRDefault="00463C34" w:rsidP="0075370D">
      <w:pPr>
        <w:ind w:leftChars="100" w:left="425" w:hangingChars="84" w:hanging="185"/>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)Whether the operator has checked to see if the issuer of securities for public offering or private placement, in relation to calculation method based on provisions of Article 16-3(1) of the FIB Cabinet Office Ordinance, issued the same type of instrument through a different Financial Instruments Business Operator in the past one-year period before the day the said public offering or private placement is started or using a method specified in Article 2(8)(vii) of FIEA (along with the specific amount of issuance if the issuer is found to have done so) by means of an appropriate method before starting to solicit acquisition of the securities, such as by examining documents showing calculations and, if necessary, questioning the issuer.</w:t>
      </w:r>
    </w:p>
    <w:p w14:paraId="5F542D66" w14:textId="569B89E3" w:rsidR="00A33DD5" w:rsidRPr="00167268" w:rsidRDefault="00463C34" w:rsidP="00167268">
      <w:pPr>
        <w:ind w:leftChars="100" w:left="425" w:hangingChars="84" w:hanging="185"/>
        <w:rPr>
          <w:rFonts w:ascii="Arial" w:hAnsi="Arial" w:hint="eastAsia"/>
          <w:sz w:val="22"/>
          <w:szCs w:val="22"/>
        </w:rPr>
      </w:pPr>
      <w:r w:rsidRPr="000B3CAB">
        <w:rPr>
          <w:rFonts w:ascii="Arial" w:hAnsi="Arial"/>
          <w:sz w:val="22"/>
          <w:szCs w:val="22"/>
        </w:rPr>
        <w:t>(ii) Whether the operator has checked to see if the investor in securities for public offering or private placement, in relation to calculation methods based on provisions of Article16-3(2) of the FIB Cabinet Office Ordinance, has acquired the same type of securities issued by the same issuer in the past one-year period before the day the said public offering or private placement is started (and that the operator has confirmed the specific acquisition value of such securities if it is possible to obtain the figure), using an appropriate method.</w:t>
      </w:r>
      <w:bookmarkStart w:id="0" w:name="_GoBack"/>
      <w:bookmarkEnd w:id="0"/>
    </w:p>
    <w:sectPr w:rsidR="00A33DD5" w:rsidRPr="00167268" w:rsidSect="00A563D5">
      <w:headerReference w:type="default" r:id="rId8"/>
      <w:footerReference w:type="default" r:id="rId9"/>
      <w:pgSz w:w="11907" w:h="16840" w:code="9"/>
      <w:pgMar w:top="1418" w:right="1134" w:bottom="1134" w:left="1418" w:header="720" w:footer="567" w:gutter="0"/>
      <w:pgNumType w:fmt="numberInDash"/>
      <w:cols w:space="425"/>
      <w:noEndnote/>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0479" w14:textId="77777777" w:rsidR="00125197" w:rsidRDefault="00125197" w:rsidP="00576793">
      <w:r>
        <w:separator/>
      </w:r>
    </w:p>
  </w:endnote>
  <w:endnote w:type="continuationSeparator" w:id="0">
    <w:p w14:paraId="7D39C755" w14:textId="77777777" w:rsidR="00125197" w:rsidRDefault="00125197" w:rsidP="005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72B3" w14:textId="1749C300" w:rsidR="00125197" w:rsidRPr="007B72E6" w:rsidRDefault="00125197" w:rsidP="00A851ED">
    <w:pPr>
      <w:pStyle w:val="a9"/>
      <w:jc w:val="center"/>
      <w:rPr>
        <w:rFonts w:ascii="Arial" w:hAnsi="Arial" w:cs="Arial"/>
        <w:sz w:val="20"/>
      </w:rPr>
    </w:pPr>
    <w:r w:rsidRPr="007B72E6">
      <w:rPr>
        <w:rFonts w:ascii="Arial" w:hAnsi="Arial" w:cs="Arial"/>
        <w:sz w:val="20"/>
      </w:rPr>
      <w:fldChar w:fldCharType="begin"/>
    </w:r>
    <w:r w:rsidRPr="007B72E6">
      <w:rPr>
        <w:rFonts w:ascii="Arial" w:hAnsi="Arial" w:cs="Arial"/>
        <w:sz w:val="20"/>
      </w:rPr>
      <w:instrText>PAGE   \* MERGEFORMAT</w:instrText>
    </w:r>
    <w:r w:rsidRPr="007B72E6">
      <w:rPr>
        <w:rFonts w:ascii="Arial" w:hAnsi="Arial" w:cs="Arial"/>
        <w:sz w:val="20"/>
      </w:rPr>
      <w:fldChar w:fldCharType="separate"/>
    </w:r>
    <w:r w:rsidR="00167268" w:rsidRPr="00167268">
      <w:rPr>
        <w:rFonts w:ascii="Arial" w:hAnsi="Arial" w:cs="Arial"/>
        <w:noProof/>
        <w:sz w:val="20"/>
        <w:lang w:val="ja-JP"/>
      </w:rPr>
      <w:t>-</w:t>
    </w:r>
    <w:r w:rsidR="00167268">
      <w:rPr>
        <w:rFonts w:ascii="Arial" w:hAnsi="Arial" w:cs="Arial"/>
        <w:noProof/>
        <w:sz w:val="20"/>
      </w:rPr>
      <w:t xml:space="preserve"> 1 -</w:t>
    </w:r>
    <w:r w:rsidRPr="007B72E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C1F9" w14:textId="77777777" w:rsidR="00125197" w:rsidRDefault="00125197" w:rsidP="00576793">
      <w:r>
        <w:separator/>
      </w:r>
    </w:p>
  </w:footnote>
  <w:footnote w:type="continuationSeparator" w:id="0">
    <w:p w14:paraId="0D9A7ECA" w14:textId="77777777" w:rsidR="00125197" w:rsidRDefault="00125197" w:rsidP="0057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F8F1" w14:textId="16ECE307" w:rsidR="00125197" w:rsidRPr="006933C6" w:rsidRDefault="00125197" w:rsidP="006933C6">
    <w:pPr>
      <w:pStyle w:val="a7"/>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574"/>
    <w:multiLevelType w:val="singleLevel"/>
    <w:tmpl w:val="A678E3E6"/>
    <w:lvl w:ilvl="0">
      <w:start w:val="1"/>
      <w:numFmt w:val="decimalEnclosedCircle"/>
      <w:lvlText w:val="%1"/>
      <w:lvlJc w:val="left"/>
      <w:pPr>
        <w:tabs>
          <w:tab w:val="num" w:pos="720"/>
        </w:tabs>
        <w:ind w:left="720" w:hanging="240"/>
      </w:pPr>
      <w:rPr>
        <w:rFonts w:hint="eastAsia"/>
      </w:rPr>
    </w:lvl>
  </w:abstractNum>
  <w:abstractNum w:abstractNumId="1" w15:restartNumberingAfterBreak="0">
    <w:nsid w:val="02BA359C"/>
    <w:multiLevelType w:val="singleLevel"/>
    <w:tmpl w:val="CFE4E990"/>
    <w:lvl w:ilvl="0">
      <w:start w:val="1"/>
      <w:numFmt w:val="decimalFullWidth"/>
      <w:lvlText w:val="(%1)"/>
      <w:lvlJc w:val="left"/>
      <w:pPr>
        <w:tabs>
          <w:tab w:val="num" w:pos="870"/>
        </w:tabs>
        <w:ind w:left="870" w:hanging="630"/>
      </w:pPr>
      <w:rPr>
        <w:rFonts w:hint="eastAsia"/>
      </w:rPr>
    </w:lvl>
  </w:abstractNum>
  <w:abstractNum w:abstractNumId="2" w15:restartNumberingAfterBreak="0">
    <w:nsid w:val="038D63E0"/>
    <w:multiLevelType w:val="hybridMultilevel"/>
    <w:tmpl w:val="683E8A66"/>
    <w:lvl w:ilvl="0" w:tplc="4EE411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866F5"/>
    <w:multiLevelType w:val="hybridMultilevel"/>
    <w:tmpl w:val="774E80CE"/>
    <w:lvl w:ilvl="0" w:tplc="A8D8DA12">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1174589"/>
    <w:multiLevelType w:val="hybridMultilevel"/>
    <w:tmpl w:val="E890A352"/>
    <w:lvl w:ilvl="0" w:tplc="74D4594A">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2B6045D"/>
    <w:multiLevelType w:val="hybridMultilevel"/>
    <w:tmpl w:val="ACE6A98E"/>
    <w:lvl w:ilvl="0" w:tplc="3A902660">
      <w:start w:val="1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EC62AD4"/>
    <w:multiLevelType w:val="hybridMultilevel"/>
    <w:tmpl w:val="9C04C288"/>
    <w:lvl w:ilvl="0" w:tplc="015EB2AA">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117079E"/>
    <w:multiLevelType w:val="hybridMultilevel"/>
    <w:tmpl w:val="31BA1BE4"/>
    <w:lvl w:ilvl="0" w:tplc="5A806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7612F"/>
    <w:multiLevelType w:val="hybridMultilevel"/>
    <w:tmpl w:val="BA9225E8"/>
    <w:lvl w:ilvl="0" w:tplc="90082DAE">
      <w:start w:val="1"/>
      <w:numFmt w:val="decimalFullWidth"/>
      <w:lvlText w:val="%1．"/>
      <w:lvlJc w:val="left"/>
      <w:pPr>
        <w:ind w:left="480" w:hanging="480"/>
      </w:pPr>
      <w:rPr>
        <w:rFonts w:hint="default"/>
      </w:rPr>
    </w:lvl>
    <w:lvl w:ilvl="1" w:tplc="9F18F5E0">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141E9"/>
    <w:multiLevelType w:val="hybridMultilevel"/>
    <w:tmpl w:val="C67ABD94"/>
    <w:lvl w:ilvl="0" w:tplc="B066C6B6">
      <w:start w:val="1"/>
      <w:numFmt w:val="decimalEnclosedCircle"/>
      <w:lvlText w:val="%1"/>
      <w:lvlJc w:val="left"/>
      <w:pPr>
        <w:ind w:left="935" w:hanging="360"/>
      </w:pPr>
      <w:rPr>
        <w:rFonts w:ascii="ＭＳ ゴシック" w:hAnsi="ＭＳ ゴシック" w:cs="ＭＳ ゴシック"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0" w15:restartNumberingAfterBreak="0">
    <w:nsid w:val="45796B55"/>
    <w:multiLevelType w:val="hybridMultilevel"/>
    <w:tmpl w:val="CBAC1814"/>
    <w:lvl w:ilvl="0" w:tplc="0409000F">
      <w:start w:val="1"/>
      <w:numFmt w:val="decimal"/>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4B0F3735"/>
    <w:multiLevelType w:val="hybridMultilevel"/>
    <w:tmpl w:val="601A2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B60D0"/>
    <w:multiLevelType w:val="multilevel"/>
    <w:tmpl w:val="1F44EACA"/>
    <w:lvl w:ilvl="0">
      <w:start w:val="1"/>
      <w:numFmt w:val="decimalEnclosedCircle"/>
      <w:lvlText w:val="%1"/>
      <w:lvlJc w:val="left"/>
      <w:pPr>
        <w:tabs>
          <w:tab w:val="num" w:pos="720"/>
        </w:tabs>
        <w:ind w:left="720" w:hanging="240"/>
      </w:pPr>
      <w:rPr>
        <w:rFonts w:hint="eastAsia"/>
        <w:dstrike/>
        <w:color w:val="FF0000"/>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58D40D16"/>
    <w:multiLevelType w:val="hybridMultilevel"/>
    <w:tmpl w:val="6FD4B7D6"/>
    <w:lvl w:ilvl="0" w:tplc="14CE69BA">
      <w:start w:val="1"/>
      <w:numFmt w:val="irohaFullWidth"/>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4" w15:restartNumberingAfterBreak="0">
    <w:nsid w:val="5A5065F0"/>
    <w:multiLevelType w:val="hybridMultilevel"/>
    <w:tmpl w:val="2C6C7B0C"/>
    <w:lvl w:ilvl="0" w:tplc="281ABBE0">
      <w:start w:val="1"/>
      <w:numFmt w:val="lowerLetter"/>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15" w15:restartNumberingAfterBreak="0">
    <w:nsid w:val="5F7971C6"/>
    <w:multiLevelType w:val="hybridMultilevel"/>
    <w:tmpl w:val="25C695BC"/>
    <w:lvl w:ilvl="0" w:tplc="30DC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176F5C"/>
    <w:multiLevelType w:val="hybridMultilevel"/>
    <w:tmpl w:val="D8688A94"/>
    <w:lvl w:ilvl="0" w:tplc="D248958E">
      <w:start w:val="1"/>
      <w:numFmt w:val="decimalFullWidth"/>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7" w15:restartNumberingAfterBreak="0">
    <w:nsid w:val="6F950553"/>
    <w:multiLevelType w:val="hybridMultilevel"/>
    <w:tmpl w:val="67AC8F7C"/>
    <w:lvl w:ilvl="0" w:tplc="21563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4933F1"/>
    <w:multiLevelType w:val="singleLevel"/>
    <w:tmpl w:val="B5D428D4"/>
    <w:lvl w:ilvl="0">
      <w:start w:val="1"/>
      <w:numFmt w:val="decimalEnclosedCircle"/>
      <w:lvlText w:val="%1"/>
      <w:lvlJc w:val="left"/>
      <w:pPr>
        <w:tabs>
          <w:tab w:val="num" w:pos="1440"/>
        </w:tabs>
        <w:ind w:left="1440" w:hanging="240"/>
      </w:pPr>
      <w:rPr>
        <w:rFonts w:hint="eastAsia"/>
      </w:rPr>
    </w:lvl>
  </w:abstractNum>
  <w:abstractNum w:abstractNumId="19"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0"/>
  </w:num>
  <w:num w:numId="4">
    <w:abstractNumId w:val="1"/>
  </w:num>
  <w:num w:numId="5">
    <w:abstractNumId w:val="6"/>
  </w:num>
  <w:num w:numId="6">
    <w:abstractNumId w:val="19"/>
  </w:num>
  <w:num w:numId="7">
    <w:abstractNumId w:val="3"/>
  </w:num>
  <w:num w:numId="8">
    <w:abstractNumId w:val="5"/>
  </w:num>
  <w:num w:numId="9">
    <w:abstractNumId w:val="4"/>
  </w:num>
  <w:num w:numId="10">
    <w:abstractNumId w:val="16"/>
  </w:num>
  <w:num w:numId="11">
    <w:abstractNumId w:val="15"/>
  </w:num>
  <w:num w:numId="12">
    <w:abstractNumId w:val="17"/>
  </w:num>
  <w:num w:numId="13">
    <w:abstractNumId w:val="2"/>
  </w:num>
  <w:num w:numId="14">
    <w:abstractNumId w:val="13"/>
  </w:num>
  <w:num w:numId="15">
    <w:abstractNumId w:val="14"/>
  </w:num>
  <w:num w:numId="16">
    <w:abstractNumId w:val="9"/>
  </w:num>
  <w:num w:numId="17">
    <w:abstractNumId w:val="8"/>
  </w:num>
  <w:num w:numId="18">
    <w:abstractNumId w:val="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5"/>
    <w:rsid w:val="00006CAA"/>
    <w:rsid w:val="00010B71"/>
    <w:rsid w:val="00012247"/>
    <w:rsid w:val="0002056D"/>
    <w:rsid w:val="00024149"/>
    <w:rsid w:val="00030FA1"/>
    <w:rsid w:val="00031A8C"/>
    <w:rsid w:val="00032C3C"/>
    <w:rsid w:val="00033DB4"/>
    <w:rsid w:val="000420FD"/>
    <w:rsid w:val="00042942"/>
    <w:rsid w:val="00046D5D"/>
    <w:rsid w:val="00054440"/>
    <w:rsid w:val="00054C7D"/>
    <w:rsid w:val="00065B85"/>
    <w:rsid w:val="00065E3B"/>
    <w:rsid w:val="0007001E"/>
    <w:rsid w:val="00074EB6"/>
    <w:rsid w:val="000869E1"/>
    <w:rsid w:val="000873F1"/>
    <w:rsid w:val="000923A6"/>
    <w:rsid w:val="00096CC1"/>
    <w:rsid w:val="000B048B"/>
    <w:rsid w:val="000B0C48"/>
    <w:rsid w:val="000B125E"/>
    <w:rsid w:val="000B2942"/>
    <w:rsid w:val="000B33D5"/>
    <w:rsid w:val="000B3CAB"/>
    <w:rsid w:val="000B441A"/>
    <w:rsid w:val="000B59B8"/>
    <w:rsid w:val="000B6958"/>
    <w:rsid w:val="000C485C"/>
    <w:rsid w:val="000D2238"/>
    <w:rsid w:val="000D2B22"/>
    <w:rsid w:val="000D610C"/>
    <w:rsid w:val="000D7C08"/>
    <w:rsid w:val="000E0681"/>
    <w:rsid w:val="000E1F5B"/>
    <w:rsid w:val="000E22E8"/>
    <w:rsid w:val="000E4C84"/>
    <w:rsid w:val="000F3575"/>
    <w:rsid w:val="000F62AA"/>
    <w:rsid w:val="001002AF"/>
    <w:rsid w:val="001012CC"/>
    <w:rsid w:val="001019A8"/>
    <w:rsid w:val="00104476"/>
    <w:rsid w:val="00104822"/>
    <w:rsid w:val="00105D2B"/>
    <w:rsid w:val="0010650B"/>
    <w:rsid w:val="001072DF"/>
    <w:rsid w:val="0011427B"/>
    <w:rsid w:val="0011463A"/>
    <w:rsid w:val="00116131"/>
    <w:rsid w:val="001209D8"/>
    <w:rsid w:val="00121297"/>
    <w:rsid w:val="00123586"/>
    <w:rsid w:val="00125197"/>
    <w:rsid w:val="00127F01"/>
    <w:rsid w:val="00130C62"/>
    <w:rsid w:val="0013288B"/>
    <w:rsid w:val="00132BF6"/>
    <w:rsid w:val="0013362C"/>
    <w:rsid w:val="00136001"/>
    <w:rsid w:val="0013734A"/>
    <w:rsid w:val="0014088D"/>
    <w:rsid w:val="00141F40"/>
    <w:rsid w:val="00142799"/>
    <w:rsid w:val="00156C2E"/>
    <w:rsid w:val="00157486"/>
    <w:rsid w:val="00157EB8"/>
    <w:rsid w:val="00161EF3"/>
    <w:rsid w:val="00163465"/>
    <w:rsid w:val="00167268"/>
    <w:rsid w:val="00167F24"/>
    <w:rsid w:val="00180124"/>
    <w:rsid w:val="00181814"/>
    <w:rsid w:val="001828B8"/>
    <w:rsid w:val="00182A10"/>
    <w:rsid w:val="0018347B"/>
    <w:rsid w:val="00184E73"/>
    <w:rsid w:val="00187ECC"/>
    <w:rsid w:val="00193FF1"/>
    <w:rsid w:val="0019436F"/>
    <w:rsid w:val="001A0BC7"/>
    <w:rsid w:val="001A1E9A"/>
    <w:rsid w:val="001B08AE"/>
    <w:rsid w:val="001B73DC"/>
    <w:rsid w:val="001C1CDC"/>
    <w:rsid w:val="001C5E56"/>
    <w:rsid w:val="001C613D"/>
    <w:rsid w:val="001D07C6"/>
    <w:rsid w:val="001D7281"/>
    <w:rsid w:val="001E1C7E"/>
    <w:rsid w:val="001E25FC"/>
    <w:rsid w:val="001F1723"/>
    <w:rsid w:val="001F3AF5"/>
    <w:rsid w:val="001F4891"/>
    <w:rsid w:val="001F53CA"/>
    <w:rsid w:val="001F6E69"/>
    <w:rsid w:val="00205D37"/>
    <w:rsid w:val="00207128"/>
    <w:rsid w:val="002151EF"/>
    <w:rsid w:val="00225AD7"/>
    <w:rsid w:val="00232030"/>
    <w:rsid w:val="0023381D"/>
    <w:rsid w:val="00233DAB"/>
    <w:rsid w:val="002340C1"/>
    <w:rsid w:val="0023536D"/>
    <w:rsid w:val="00235876"/>
    <w:rsid w:val="0023645F"/>
    <w:rsid w:val="00240083"/>
    <w:rsid w:val="00250C80"/>
    <w:rsid w:val="00253C46"/>
    <w:rsid w:val="00256572"/>
    <w:rsid w:val="00257747"/>
    <w:rsid w:val="00267BA2"/>
    <w:rsid w:val="00273A6A"/>
    <w:rsid w:val="00274DD8"/>
    <w:rsid w:val="002801C2"/>
    <w:rsid w:val="002807CA"/>
    <w:rsid w:val="002808DC"/>
    <w:rsid w:val="00284A47"/>
    <w:rsid w:val="00290D6E"/>
    <w:rsid w:val="002945FA"/>
    <w:rsid w:val="00294851"/>
    <w:rsid w:val="00294B02"/>
    <w:rsid w:val="00294E90"/>
    <w:rsid w:val="002A7CD1"/>
    <w:rsid w:val="002B0B6F"/>
    <w:rsid w:val="002B3991"/>
    <w:rsid w:val="002C2D23"/>
    <w:rsid w:val="002C665D"/>
    <w:rsid w:val="002E19A9"/>
    <w:rsid w:val="002E2572"/>
    <w:rsid w:val="002E2F99"/>
    <w:rsid w:val="002E6325"/>
    <w:rsid w:val="002E6A04"/>
    <w:rsid w:val="002F027B"/>
    <w:rsid w:val="002F312E"/>
    <w:rsid w:val="002F3F9D"/>
    <w:rsid w:val="003034AD"/>
    <w:rsid w:val="003034C5"/>
    <w:rsid w:val="0030690A"/>
    <w:rsid w:val="00306D63"/>
    <w:rsid w:val="003100C7"/>
    <w:rsid w:val="00311552"/>
    <w:rsid w:val="00316D1C"/>
    <w:rsid w:val="00321204"/>
    <w:rsid w:val="003217FD"/>
    <w:rsid w:val="003244AD"/>
    <w:rsid w:val="003255F6"/>
    <w:rsid w:val="00331E9C"/>
    <w:rsid w:val="0033482D"/>
    <w:rsid w:val="00335E48"/>
    <w:rsid w:val="00353955"/>
    <w:rsid w:val="00364FF3"/>
    <w:rsid w:val="00365290"/>
    <w:rsid w:val="003712CD"/>
    <w:rsid w:val="0037544C"/>
    <w:rsid w:val="00381F71"/>
    <w:rsid w:val="0038216C"/>
    <w:rsid w:val="00384C04"/>
    <w:rsid w:val="00386166"/>
    <w:rsid w:val="00387D35"/>
    <w:rsid w:val="00387E43"/>
    <w:rsid w:val="00395401"/>
    <w:rsid w:val="003A3E46"/>
    <w:rsid w:val="003A5103"/>
    <w:rsid w:val="003A5D8C"/>
    <w:rsid w:val="003C5332"/>
    <w:rsid w:val="003D4226"/>
    <w:rsid w:val="003D79FB"/>
    <w:rsid w:val="003D7ECF"/>
    <w:rsid w:val="003E18A5"/>
    <w:rsid w:val="003E47E2"/>
    <w:rsid w:val="003F24EF"/>
    <w:rsid w:val="003F64AB"/>
    <w:rsid w:val="00403AA0"/>
    <w:rsid w:val="00407091"/>
    <w:rsid w:val="00414272"/>
    <w:rsid w:val="004216E4"/>
    <w:rsid w:val="004310B5"/>
    <w:rsid w:val="0043240A"/>
    <w:rsid w:val="00437BA1"/>
    <w:rsid w:val="00440D8D"/>
    <w:rsid w:val="00441132"/>
    <w:rsid w:val="00444E50"/>
    <w:rsid w:val="00445BF8"/>
    <w:rsid w:val="004466FC"/>
    <w:rsid w:val="0045108C"/>
    <w:rsid w:val="0045515E"/>
    <w:rsid w:val="004571F9"/>
    <w:rsid w:val="004607F1"/>
    <w:rsid w:val="00460C30"/>
    <w:rsid w:val="00463C34"/>
    <w:rsid w:val="004731FC"/>
    <w:rsid w:val="00486F12"/>
    <w:rsid w:val="00494987"/>
    <w:rsid w:val="004A1135"/>
    <w:rsid w:val="004B0338"/>
    <w:rsid w:val="004B24BE"/>
    <w:rsid w:val="004B54C3"/>
    <w:rsid w:val="004B72F5"/>
    <w:rsid w:val="004B7C6C"/>
    <w:rsid w:val="004C2CA2"/>
    <w:rsid w:val="004C31F5"/>
    <w:rsid w:val="004D1D31"/>
    <w:rsid w:val="004D3C69"/>
    <w:rsid w:val="004D6C51"/>
    <w:rsid w:val="004E6A47"/>
    <w:rsid w:val="004F4924"/>
    <w:rsid w:val="00501699"/>
    <w:rsid w:val="00501E25"/>
    <w:rsid w:val="005021F9"/>
    <w:rsid w:val="00502A9E"/>
    <w:rsid w:val="005032BD"/>
    <w:rsid w:val="005042CA"/>
    <w:rsid w:val="0050621D"/>
    <w:rsid w:val="00511EEF"/>
    <w:rsid w:val="00512489"/>
    <w:rsid w:val="005134E5"/>
    <w:rsid w:val="005206D0"/>
    <w:rsid w:val="00522B9A"/>
    <w:rsid w:val="00523173"/>
    <w:rsid w:val="00525C9A"/>
    <w:rsid w:val="00531375"/>
    <w:rsid w:val="0053169F"/>
    <w:rsid w:val="0053449E"/>
    <w:rsid w:val="005348AC"/>
    <w:rsid w:val="00542F0A"/>
    <w:rsid w:val="00562682"/>
    <w:rsid w:val="00565A2F"/>
    <w:rsid w:val="00565B78"/>
    <w:rsid w:val="005709EA"/>
    <w:rsid w:val="00572DB6"/>
    <w:rsid w:val="0057491D"/>
    <w:rsid w:val="00574E6D"/>
    <w:rsid w:val="00576793"/>
    <w:rsid w:val="00586927"/>
    <w:rsid w:val="00592863"/>
    <w:rsid w:val="0059295B"/>
    <w:rsid w:val="005948BB"/>
    <w:rsid w:val="005968ED"/>
    <w:rsid w:val="00596EC7"/>
    <w:rsid w:val="005A4795"/>
    <w:rsid w:val="005A6149"/>
    <w:rsid w:val="005A7004"/>
    <w:rsid w:val="005B23E3"/>
    <w:rsid w:val="005C01DE"/>
    <w:rsid w:val="005C1940"/>
    <w:rsid w:val="005C208F"/>
    <w:rsid w:val="005D0C49"/>
    <w:rsid w:val="005D4FEA"/>
    <w:rsid w:val="005D5AE2"/>
    <w:rsid w:val="005D5AEE"/>
    <w:rsid w:val="005D67EA"/>
    <w:rsid w:val="005E012F"/>
    <w:rsid w:val="005E24A6"/>
    <w:rsid w:val="005E6CA8"/>
    <w:rsid w:val="005E6ED7"/>
    <w:rsid w:val="005F3F42"/>
    <w:rsid w:val="00604F6B"/>
    <w:rsid w:val="006068E4"/>
    <w:rsid w:val="006138E9"/>
    <w:rsid w:val="00634886"/>
    <w:rsid w:val="006404A1"/>
    <w:rsid w:val="00642304"/>
    <w:rsid w:val="00643FA6"/>
    <w:rsid w:val="0064546C"/>
    <w:rsid w:val="006474A3"/>
    <w:rsid w:val="00651A22"/>
    <w:rsid w:val="0065382A"/>
    <w:rsid w:val="0065528B"/>
    <w:rsid w:val="0065554C"/>
    <w:rsid w:val="00655E2D"/>
    <w:rsid w:val="00663C28"/>
    <w:rsid w:val="006657A9"/>
    <w:rsid w:val="006858A9"/>
    <w:rsid w:val="00690D61"/>
    <w:rsid w:val="006933C6"/>
    <w:rsid w:val="006950F3"/>
    <w:rsid w:val="006A23E1"/>
    <w:rsid w:val="006B0FE1"/>
    <w:rsid w:val="006B1B61"/>
    <w:rsid w:val="006B526F"/>
    <w:rsid w:val="006B7D92"/>
    <w:rsid w:val="006C4045"/>
    <w:rsid w:val="006C4632"/>
    <w:rsid w:val="006C7887"/>
    <w:rsid w:val="006C7F74"/>
    <w:rsid w:val="006D2D80"/>
    <w:rsid w:val="006E477D"/>
    <w:rsid w:val="007037C7"/>
    <w:rsid w:val="007047CE"/>
    <w:rsid w:val="00704C03"/>
    <w:rsid w:val="00712591"/>
    <w:rsid w:val="00714BD4"/>
    <w:rsid w:val="00715CC5"/>
    <w:rsid w:val="00720799"/>
    <w:rsid w:val="00722B2A"/>
    <w:rsid w:val="007309D3"/>
    <w:rsid w:val="0073165E"/>
    <w:rsid w:val="00731E71"/>
    <w:rsid w:val="007353CD"/>
    <w:rsid w:val="00744C6B"/>
    <w:rsid w:val="007454B2"/>
    <w:rsid w:val="00745734"/>
    <w:rsid w:val="00745FFD"/>
    <w:rsid w:val="007523F2"/>
    <w:rsid w:val="0075370D"/>
    <w:rsid w:val="0076000E"/>
    <w:rsid w:val="00761F02"/>
    <w:rsid w:val="007643D2"/>
    <w:rsid w:val="007701EE"/>
    <w:rsid w:val="0077162E"/>
    <w:rsid w:val="0077282F"/>
    <w:rsid w:val="00774149"/>
    <w:rsid w:val="007762FC"/>
    <w:rsid w:val="0077781A"/>
    <w:rsid w:val="007857F3"/>
    <w:rsid w:val="007861EF"/>
    <w:rsid w:val="007911CE"/>
    <w:rsid w:val="0079547F"/>
    <w:rsid w:val="007A0A16"/>
    <w:rsid w:val="007A3BDC"/>
    <w:rsid w:val="007B4E1A"/>
    <w:rsid w:val="007B6B39"/>
    <w:rsid w:val="007B72E6"/>
    <w:rsid w:val="007B7F9C"/>
    <w:rsid w:val="007C47B2"/>
    <w:rsid w:val="007C49BE"/>
    <w:rsid w:val="007D0484"/>
    <w:rsid w:val="007D05D6"/>
    <w:rsid w:val="007D21C2"/>
    <w:rsid w:val="007E02EA"/>
    <w:rsid w:val="007E5453"/>
    <w:rsid w:val="007E7033"/>
    <w:rsid w:val="00803BD8"/>
    <w:rsid w:val="00803D24"/>
    <w:rsid w:val="00817301"/>
    <w:rsid w:val="00820824"/>
    <w:rsid w:val="00825F34"/>
    <w:rsid w:val="00826DBA"/>
    <w:rsid w:val="00830498"/>
    <w:rsid w:val="00832280"/>
    <w:rsid w:val="008330CE"/>
    <w:rsid w:val="00846733"/>
    <w:rsid w:val="0084761A"/>
    <w:rsid w:val="008536DD"/>
    <w:rsid w:val="00854465"/>
    <w:rsid w:val="0086037E"/>
    <w:rsid w:val="00867A23"/>
    <w:rsid w:val="008700BD"/>
    <w:rsid w:val="0087303E"/>
    <w:rsid w:val="008739F6"/>
    <w:rsid w:val="008815CB"/>
    <w:rsid w:val="00887A52"/>
    <w:rsid w:val="00896B78"/>
    <w:rsid w:val="008A3B4F"/>
    <w:rsid w:val="008A4DF5"/>
    <w:rsid w:val="008B05A0"/>
    <w:rsid w:val="008B2C64"/>
    <w:rsid w:val="008B472D"/>
    <w:rsid w:val="008B6A1B"/>
    <w:rsid w:val="008C3E84"/>
    <w:rsid w:val="008C4A97"/>
    <w:rsid w:val="008D1C4A"/>
    <w:rsid w:val="008D27F4"/>
    <w:rsid w:val="008D55B6"/>
    <w:rsid w:val="008D7B21"/>
    <w:rsid w:val="008E2C4A"/>
    <w:rsid w:val="008E4D29"/>
    <w:rsid w:val="008E6627"/>
    <w:rsid w:val="0090408D"/>
    <w:rsid w:val="00905BDC"/>
    <w:rsid w:val="00905EE9"/>
    <w:rsid w:val="0090611E"/>
    <w:rsid w:val="009066B2"/>
    <w:rsid w:val="0091221E"/>
    <w:rsid w:val="0091595D"/>
    <w:rsid w:val="009161DE"/>
    <w:rsid w:val="009174C2"/>
    <w:rsid w:val="00920F44"/>
    <w:rsid w:val="00934940"/>
    <w:rsid w:val="00937B3A"/>
    <w:rsid w:val="0094044A"/>
    <w:rsid w:val="00950B86"/>
    <w:rsid w:val="0095485E"/>
    <w:rsid w:val="0095668E"/>
    <w:rsid w:val="00956E23"/>
    <w:rsid w:val="00957A51"/>
    <w:rsid w:val="00960579"/>
    <w:rsid w:val="009646C7"/>
    <w:rsid w:val="00966C7A"/>
    <w:rsid w:val="00972A2A"/>
    <w:rsid w:val="00972D2C"/>
    <w:rsid w:val="0098206D"/>
    <w:rsid w:val="00985950"/>
    <w:rsid w:val="00986231"/>
    <w:rsid w:val="00987FA0"/>
    <w:rsid w:val="009932AC"/>
    <w:rsid w:val="00995C16"/>
    <w:rsid w:val="009A0AAC"/>
    <w:rsid w:val="009A1ECD"/>
    <w:rsid w:val="009B0BED"/>
    <w:rsid w:val="009B2B71"/>
    <w:rsid w:val="009B6591"/>
    <w:rsid w:val="009C2FDD"/>
    <w:rsid w:val="009C33F7"/>
    <w:rsid w:val="009C38A1"/>
    <w:rsid w:val="009C4385"/>
    <w:rsid w:val="009C4BF2"/>
    <w:rsid w:val="009D17E4"/>
    <w:rsid w:val="009D52CD"/>
    <w:rsid w:val="009D78ED"/>
    <w:rsid w:val="009E1A9D"/>
    <w:rsid w:val="009E3197"/>
    <w:rsid w:val="009E38FC"/>
    <w:rsid w:val="009F6072"/>
    <w:rsid w:val="00A014E4"/>
    <w:rsid w:val="00A03135"/>
    <w:rsid w:val="00A05DB4"/>
    <w:rsid w:val="00A062DE"/>
    <w:rsid w:val="00A17D31"/>
    <w:rsid w:val="00A21DC0"/>
    <w:rsid w:val="00A30F8B"/>
    <w:rsid w:val="00A31E25"/>
    <w:rsid w:val="00A337DF"/>
    <w:rsid w:val="00A33DD5"/>
    <w:rsid w:val="00A36C53"/>
    <w:rsid w:val="00A3785D"/>
    <w:rsid w:val="00A42B58"/>
    <w:rsid w:val="00A47277"/>
    <w:rsid w:val="00A52085"/>
    <w:rsid w:val="00A528C8"/>
    <w:rsid w:val="00A55802"/>
    <w:rsid w:val="00A563D5"/>
    <w:rsid w:val="00A670DC"/>
    <w:rsid w:val="00A71EFF"/>
    <w:rsid w:val="00A8078B"/>
    <w:rsid w:val="00A80E23"/>
    <w:rsid w:val="00A851ED"/>
    <w:rsid w:val="00A93FF6"/>
    <w:rsid w:val="00AA0452"/>
    <w:rsid w:val="00AA07FD"/>
    <w:rsid w:val="00AA141A"/>
    <w:rsid w:val="00AB2CEF"/>
    <w:rsid w:val="00AB4AEE"/>
    <w:rsid w:val="00AC26D4"/>
    <w:rsid w:val="00AC603B"/>
    <w:rsid w:val="00AC6150"/>
    <w:rsid w:val="00AC6E6D"/>
    <w:rsid w:val="00AD08F0"/>
    <w:rsid w:val="00AD6F26"/>
    <w:rsid w:val="00B0392F"/>
    <w:rsid w:val="00B03CC0"/>
    <w:rsid w:val="00B043ED"/>
    <w:rsid w:val="00B07248"/>
    <w:rsid w:val="00B07C31"/>
    <w:rsid w:val="00B140FC"/>
    <w:rsid w:val="00B15778"/>
    <w:rsid w:val="00B168F8"/>
    <w:rsid w:val="00B31C48"/>
    <w:rsid w:val="00B35068"/>
    <w:rsid w:val="00B36926"/>
    <w:rsid w:val="00B3759B"/>
    <w:rsid w:val="00B41B04"/>
    <w:rsid w:val="00B41C3F"/>
    <w:rsid w:val="00B4663D"/>
    <w:rsid w:val="00B46C93"/>
    <w:rsid w:val="00B471C2"/>
    <w:rsid w:val="00B5095C"/>
    <w:rsid w:val="00B52F90"/>
    <w:rsid w:val="00B61574"/>
    <w:rsid w:val="00B61DA8"/>
    <w:rsid w:val="00B6716A"/>
    <w:rsid w:val="00B72FCD"/>
    <w:rsid w:val="00B7338B"/>
    <w:rsid w:val="00B74A6C"/>
    <w:rsid w:val="00B76A86"/>
    <w:rsid w:val="00B76D50"/>
    <w:rsid w:val="00B83801"/>
    <w:rsid w:val="00B83CB5"/>
    <w:rsid w:val="00B9296C"/>
    <w:rsid w:val="00B9610A"/>
    <w:rsid w:val="00B96F17"/>
    <w:rsid w:val="00B973CB"/>
    <w:rsid w:val="00BA3EF3"/>
    <w:rsid w:val="00BA6AC0"/>
    <w:rsid w:val="00BA6CBA"/>
    <w:rsid w:val="00BC1B9C"/>
    <w:rsid w:val="00BC6AF9"/>
    <w:rsid w:val="00BC770A"/>
    <w:rsid w:val="00BC795F"/>
    <w:rsid w:val="00BD0FB6"/>
    <w:rsid w:val="00BD29DA"/>
    <w:rsid w:val="00BD4089"/>
    <w:rsid w:val="00BD66FF"/>
    <w:rsid w:val="00BE3FBB"/>
    <w:rsid w:val="00BF3F03"/>
    <w:rsid w:val="00BF7C55"/>
    <w:rsid w:val="00C05C6A"/>
    <w:rsid w:val="00C119D3"/>
    <w:rsid w:val="00C13830"/>
    <w:rsid w:val="00C15501"/>
    <w:rsid w:val="00C16810"/>
    <w:rsid w:val="00C2452E"/>
    <w:rsid w:val="00C25878"/>
    <w:rsid w:val="00C33D52"/>
    <w:rsid w:val="00C427BB"/>
    <w:rsid w:val="00C5254F"/>
    <w:rsid w:val="00C526EC"/>
    <w:rsid w:val="00C56340"/>
    <w:rsid w:val="00C62402"/>
    <w:rsid w:val="00C62937"/>
    <w:rsid w:val="00C74E93"/>
    <w:rsid w:val="00C8340A"/>
    <w:rsid w:val="00C86D84"/>
    <w:rsid w:val="00C87D3A"/>
    <w:rsid w:val="00CA0DE6"/>
    <w:rsid w:val="00CA2B1F"/>
    <w:rsid w:val="00CA2E05"/>
    <w:rsid w:val="00CB388A"/>
    <w:rsid w:val="00CC0B32"/>
    <w:rsid w:val="00CC217B"/>
    <w:rsid w:val="00CC4BDA"/>
    <w:rsid w:val="00CD0FDC"/>
    <w:rsid w:val="00CD1282"/>
    <w:rsid w:val="00CD2BD8"/>
    <w:rsid w:val="00CD2DBC"/>
    <w:rsid w:val="00CD2E8B"/>
    <w:rsid w:val="00CD7C44"/>
    <w:rsid w:val="00CE2B7E"/>
    <w:rsid w:val="00CE501F"/>
    <w:rsid w:val="00CF01E3"/>
    <w:rsid w:val="00CF2CB5"/>
    <w:rsid w:val="00CF7663"/>
    <w:rsid w:val="00D008BF"/>
    <w:rsid w:val="00D008D2"/>
    <w:rsid w:val="00D0400B"/>
    <w:rsid w:val="00D075BA"/>
    <w:rsid w:val="00D11266"/>
    <w:rsid w:val="00D1574B"/>
    <w:rsid w:val="00D15D59"/>
    <w:rsid w:val="00D3048C"/>
    <w:rsid w:val="00D31BC2"/>
    <w:rsid w:val="00D4255F"/>
    <w:rsid w:val="00D51AE3"/>
    <w:rsid w:val="00D54D28"/>
    <w:rsid w:val="00D60441"/>
    <w:rsid w:val="00D60488"/>
    <w:rsid w:val="00D64CA5"/>
    <w:rsid w:val="00D67725"/>
    <w:rsid w:val="00D82660"/>
    <w:rsid w:val="00D8313E"/>
    <w:rsid w:val="00D95A64"/>
    <w:rsid w:val="00D95E11"/>
    <w:rsid w:val="00DA37E9"/>
    <w:rsid w:val="00DB39E7"/>
    <w:rsid w:val="00DC5020"/>
    <w:rsid w:val="00DD3AAB"/>
    <w:rsid w:val="00DD7559"/>
    <w:rsid w:val="00DE0440"/>
    <w:rsid w:val="00DE117A"/>
    <w:rsid w:val="00DE6648"/>
    <w:rsid w:val="00DF05B0"/>
    <w:rsid w:val="00DF65A1"/>
    <w:rsid w:val="00E05030"/>
    <w:rsid w:val="00E05515"/>
    <w:rsid w:val="00E121B2"/>
    <w:rsid w:val="00E14398"/>
    <w:rsid w:val="00E20BD1"/>
    <w:rsid w:val="00E232E4"/>
    <w:rsid w:val="00E27AF7"/>
    <w:rsid w:val="00E319F7"/>
    <w:rsid w:val="00E31E4D"/>
    <w:rsid w:val="00E365F6"/>
    <w:rsid w:val="00E401B8"/>
    <w:rsid w:val="00E463EB"/>
    <w:rsid w:val="00E47957"/>
    <w:rsid w:val="00E52827"/>
    <w:rsid w:val="00E53693"/>
    <w:rsid w:val="00E5399D"/>
    <w:rsid w:val="00E57408"/>
    <w:rsid w:val="00E62358"/>
    <w:rsid w:val="00E638FF"/>
    <w:rsid w:val="00E65483"/>
    <w:rsid w:val="00E676E7"/>
    <w:rsid w:val="00E70E48"/>
    <w:rsid w:val="00E7288D"/>
    <w:rsid w:val="00E828D5"/>
    <w:rsid w:val="00E859A4"/>
    <w:rsid w:val="00E868EE"/>
    <w:rsid w:val="00E93545"/>
    <w:rsid w:val="00EA23DC"/>
    <w:rsid w:val="00EA4F21"/>
    <w:rsid w:val="00EA5EAD"/>
    <w:rsid w:val="00EA680B"/>
    <w:rsid w:val="00EA6934"/>
    <w:rsid w:val="00EB2285"/>
    <w:rsid w:val="00EB69C6"/>
    <w:rsid w:val="00EB7DB4"/>
    <w:rsid w:val="00EC546C"/>
    <w:rsid w:val="00ED4EB1"/>
    <w:rsid w:val="00ED5475"/>
    <w:rsid w:val="00ED560D"/>
    <w:rsid w:val="00EE0985"/>
    <w:rsid w:val="00EE3464"/>
    <w:rsid w:val="00EE6039"/>
    <w:rsid w:val="00EF00EC"/>
    <w:rsid w:val="00EF286D"/>
    <w:rsid w:val="00EF3227"/>
    <w:rsid w:val="00EF51BB"/>
    <w:rsid w:val="00EF5EE9"/>
    <w:rsid w:val="00EF6BF8"/>
    <w:rsid w:val="00EF72E2"/>
    <w:rsid w:val="00EF7F7D"/>
    <w:rsid w:val="00F058C1"/>
    <w:rsid w:val="00F10B6E"/>
    <w:rsid w:val="00F10EEA"/>
    <w:rsid w:val="00F21173"/>
    <w:rsid w:val="00F218CE"/>
    <w:rsid w:val="00F23F3F"/>
    <w:rsid w:val="00F31194"/>
    <w:rsid w:val="00F317DC"/>
    <w:rsid w:val="00F33C1B"/>
    <w:rsid w:val="00F401B8"/>
    <w:rsid w:val="00F403C2"/>
    <w:rsid w:val="00F436FC"/>
    <w:rsid w:val="00F45966"/>
    <w:rsid w:val="00F560D3"/>
    <w:rsid w:val="00F60878"/>
    <w:rsid w:val="00F6185C"/>
    <w:rsid w:val="00F721E9"/>
    <w:rsid w:val="00F73709"/>
    <w:rsid w:val="00F754AB"/>
    <w:rsid w:val="00F80916"/>
    <w:rsid w:val="00F90D20"/>
    <w:rsid w:val="00F95949"/>
    <w:rsid w:val="00F963D4"/>
    <w:rsid w:val="00FA290E"/>
    <w:rsid w:val="00FA4DE6"/>
    <w:rsid w:val="00FB3CE8"/>
    <w:rsid w:val="00FB4D67"/>
    <w:rsid w:val="00FC3BE6"/>
    <w:rsid w:val="00FE1118"/>
    <w:rsid w:val="00FE1686"/>
    <w:rsid w:val="00FE6262"/>
    <w:rsid w:val="00FE6932"/>
    <w:rsid w:val="00FF00D6"/>
    <w:rsid w:val="00FF47FC"/>
    <w:rsid w:val="00FF4A1C"/>
    <w:rsid w:val="00FF4EAD"/>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CA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semiHidden/>
    <w:rsid w:val="00934940"/>
    <w:rPr>
      <w:sz w:val="18"/>
      <w:szCs w:val="18"/>
    </w:rPr>
  </w:style>
  <w:style w:type="paragraph" w:styleId="a5">
    <w:name w:val="annotation text"/>
    <w:basedOn w:val="a"/>
    <w:semiHidden/>
    <w:rsid w:val="00934940"/>
    <w:pPr>
      <w:jc w:val="left"/>
    </w:pPr>
  </w:style>
  <w:style w:type="paragraph" w:styleId="a6">
    <w:name w:val="annotation subject"/>
    <w:basedOn w:val="a5"/>
    <w:next w:val="a5"/>
    <w:semiHidden/>
    <w:rsid w:val="00934940"/>
    <w:rPr>
      <w:b/>
      <w:bCs/>
    </w:rPr>
  </w:style>
  <w:style w:type="paragraph" w:styleId="a7">
    <w:name w:val="header"/>
    <w:basedOn w:val="a"/>
    <w:link w:val="a8"/>
    <w:rsid w:val="00576793"/>
    <w:pPr>
      <w:tabs>
        <w:tab w:val="center" w:pos="4252"/>
        <w:tab w:val="right" w:pos="8504"/>
      </w:tabs>
      <w:snapToGrid w:val="0"/>
    </w:pPr>
  </w:style>
  <w:style w:type="character" w:customStyle="1" w:styleId="a8">
    <w:name w:val="ヘッダー (文字)"/>
    <w:link w:val="a7"/>
    <w:rsid w:val="00576793"/>
    <w:rPr>
      <w:rFonts w:eastAsia="ＭＳ ゴシック"/>
      <w:kern w:val="2"/>
      <w:sz w:val="24"/>
    </w:rPr>
  </w:style>
  <w:style w:type="paragraph" w:styleId="a9">
    <w:name w:val="footer"/>
    <w:basedOn w:val="a"/>
    <w:link w:val="aa"/>
    <w:uiPriority w:val="99"/>
    <w:rsid w:val="00576793"/>
    <w:pPr>
      <w:tabs>
        <w:tab w:val="center" w:pos="4252"/>
        <w:tab w:val="right" w:pos="8504"/>
      </w:tabs>
      <w:snapToGrid w:val="0"/>
    </w:pPr>
  </w:style>
  <w:style w:type="character" w:customStyle="1" w:styleId="aa">
    <w:name w:val="フッター (文字)"/>
    <w:link w:val="a9"/>
    <w:uiPriority w:val="99"/>
    <w:rsid w:val="00576793"/>
    <w:rPr>
      <w:rFonts w:eastAsia="ＭＳ ゴシック"/>
      <w:kern w:val="2"/>
      <w:sz w:val="24"/>
    </w:rPr>
  </w:style>
  <w:style w:type="paragraph" w:styleId="ab">
    <w:name w:val="List Paragraph"/>
    <w:basedOn w:val="a"/>
    <w:uiPriority w:val="34"/>
    <w:qFormat/>
    <w:rsid w:val="008536DD"/>
    <w:pPr>
      <w:ind w:leftChars="400" w:left="840"/>
    </w:pPr>
  </w:style>
  <w:style w:type="paragraph" w:styleId="ac">
    <w:name w:val="Revision"/>
    <w:hidden/>
    <w:uiPriority w:val="99"/>
    <w:semiHidden/>
    <w:rsid w:val="001F3AF5"/>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5EA8-6CCC-4A83-B72A-2EF4FF76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5482</Words>
  <Characters>10309</Characters>
  <Application>Microsoft Office Word</Application>
  <DocSecurity>0</DocSecurity>
  <Lines>85</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2023-08-02T04:06:00Z</dcterms:created>
  <dcterms:modified xsi:type="dcterms:W3CDTF">2023-11-15T05:23:00Z</dcterms:modified>
</cp:coreProperties>
</file>